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8910"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URP 6645 Sustainable Urbanism in Europe</w:t>
      </w:r>
    </w:p>
    <w:p w14:paraId="19171B6F" w14:textId="48EFD7AD" w:rsidR="00047ACC" w:rsidRPr="000139AC" w:rsidRDefault="00047ACC" w:rsidP="00047ACC">
      <w:pPr>
        <w:rPr>
          <w:rFonts w:ascii="Times New Roman" w:hAnsi="Times New Roman" w:cs="Times New Roman"/>
        </w:rPr>
      </w:pPr>
      <w:r w:rsidRPr="000139AC">
        <w:rPr>
          <w:rFonts w:ascii="Times New Roman" w:hAnsi="Times New Roman" w:cs="Times New Roman"/>
        </w:rPr>
        <w:t>Spring 202</w:t>
      </w:r>
      <w:r w:rsidR="000139AC" w:rsidRPr="000139AC">
        <w:rPr>
          <w:rFonts w:ascii="Times New Roman" w:hAnsi="Times New Roman" w:cs="Times New Roman"/>
        </w:rPr>
        <w:t>6</w:t>
      </w:r>
      <w:r w:rsidRPr="000139AC">
        <w:rPr>
          <w:rFonts w:ascii="Times New Roman" w:hAnsi="Times New Roman" w:cs="Times New Roman"/>
        </w:rPr>
        <w:t> </w:t>
      </w:r>
    </w:p>
    <w:p w14:paraId="36901DA1" w14:textId="6D214D93" w:rsidR="00047ACC" w:rsidRPr="000139AC" w:rsidRDefault="00047ACC" w:rsidP="00047ACC">
      <w:pPr>
        <w:rPr>
          <w:rFonts w:ascii="Times New Roman" w:hAnsi="Times New Roman" w:cs="Times New Roman"/>
        </w:rPr>
      </w:pPr>
      <w:r w:rsidRPr="000139AC">
        <w:rPr>
          <w:rFonts w:ascii="Times New Roman" w:hAnsi="Times New Roman" w:cs="Times New Roman"/>
          <w:b/>
          <w:bCs/>
        </w:rPr>
        <w:t>Instructor</w:t>
      </w:r>
    </w:p>
    <w:p w14:paraId="51CD7265"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Dr. Christopher Silver, FAICP. Professor Emeritus, Urban and Regional Planning</w:t>
      </w:r>
    </w:p>
    <w:p w14:paraId="51AA5C6A"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Email: </w:t>
      </w:r>
      <w:hyperlink r:id="rId6" w:history="1">
        <w:r w:rsidRPr="000139AC">
          <w:rPr>
            <w:rStyle w:val="Hyperlink"/>
            <w:rFonts w:ascii="Times New Roman" w:hAnsi="Times New Roman" w:cs="Times New Roman"/>
          </w:rPr>
          <w:t>silver2@ufl.edu</w:t>
        </w:r>
      </w:hyperlink>
    </w:p>
    <w:p w14:paraId="0FA8328A"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42A79E6A"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Course Overview/Objectives</w:t>
      </w:r>
    </w:p>
    <w:p w14:paraId="337530E2"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European cities are celebrated for their livability as compared to cities in all regions in the world. Planners typically point to their unique blend of the new and the historic, the walkability of these places when contrasted with counterparts in North and South America and places in Asia, the efficiency of European urban transportation systems, the careful utilization of land in European cities to support higher population densities without sacrificing amenities, their environmental amenities, and for accommodating an increasing diverse population. At the same time, European cities confront challenges of a high-cost living, serious unemployment in certain regions, aging infrastructure, and the challenges associated with their experiment with regional integration. It is the regional integration experiment and the increasing interconnectedness of Europe’s cities that makes it especially important to better understand the diverse policies that are defining city development in one of the most urbanized regions of the world. There are challenges to be understood but also models of intervention to be explored and perhaps emulated to help plan more sustainable urbanism on a global scale. That is the intention of this course.</w:t>
      </w:r>
    </w:p>
    <w:p w14:paraId="31E128EA"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The course will explore the diverse urban places that make up modern Europe through a three-pronged approach. The first section examines the historical development of cities in Europe, beginning with the urbanization process initiated during the Roman Empire. More attention will be given to the development processes of the 17th through the early 20th centuries. In many respects this was the period during which European urbanism was exported to all parts of the globe through colonialism. European city planners also devised models to guide urban change that had enormous global impact and are important to understand as a basis of the modern city. The impact of two world wars (destruction and rebuilding), the post‐colonial, Cold War and post‐Cold War period will be examined from the standpoint of their impact on select cities as a prelude to the establishment of the European Union. While this section will touch upon Europe as a whole, it will rely necessarily on select urban cases to illuminate the broader development processes.</w:t>
      </w:r>
    </w:p>
    <w:p w14:paraId="25EB788B"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The second section of the course will examine the challenges and accomplishment of urbanization in Europe over the past several decades. The national and local planning processes that affect the development of individual cities will be explored to better understand how Europe manages change. Select cities will be examined to demonstrate the range of strategies related to land development, provision of housing, commercial development, preservation of open space and landscape planning, financing basic services, transportation planning and its relationship to urban functions, and the broad area of economic development efforts that have kept European cities vital places. European nations have engaged in some unique approaches to regional development (e.g. managing waterways that traverse multiple nations and cities) that offer useful lessons as well. </w:t>
      </w:r>
    </w:p>
    <w:p w14:paraId="557C36AD"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xml:space="preserve">The final section of the course will consider the current condition and challenges of cities in Europe from the standpoint of models of sustainable development. The point here is to move beyond the case studies </w:t>
      </w:r>
      <w:r w:rsidRPr="000139AC">
        <w:rPr>
          <w:rFonts w:ascii="Times New Roman" w:hAnsi="Times New Roman" w:cs="Times New Roman"/>
        </w:rPr>
        <w:lastRenderedPageBreak/>
        <w:t>per se to evaluate the effectiveness of various policies, interventions and plans from the standpoint of key components of sustainability modeling, such as energy consumption, utilization of resources, ensuring greater livability to a broader segment of the population, and adaptation to the regional integration standards advanced under the banner of the European Union.</w:t>
      </w:r>
    </w:p>
    <w:p w14:paraId="194A5DF2"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5502D13F"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Required Texts </w:t>
      </w:r>
    </w:p>
    <w:p w14:paraId="682250E6"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Beatley, Timothy, ed., </w:t>
      </w:r>
      <w:r w:rsidRPr="000139AC">
        <w:rPr>
          <w:rFonts w:ascii="Times New Roman" w:hAnsi="Times New Roman" w:cs="Times New Roman"/>
          <w:b/>
          <w:bCs/>
          <w:i/>
          <w:iCs/>
        </w:rPr>
        <w:t>Green Cities of Europe</w:t>
      </w:r>
      <w:r w:rsidRPr="000139AC">
        <w:rPr>
          <w:rFonts w:ascii="Times New Roman" w:hAnsi="Times New Roman" w:cs="Times New Roman"/>
          <w:b/>
          <w:bCs/>
        </w:rPr>
        <w:t>. Washington, DC: Island Press, 2012</w:t>
      </w:r>
    </w:p>
    <w:p w14:paraId="078680CB" w14:textId="77777777" w:rsidR="00047ACC" w:rsidRPr="000139AC" w:rsidRDefault="00047ACC" w:rsidP="00047ACC">
      <w:pPr>
        <w:numPr>
          <w:ilvl w:val="0"/>
          <w:numId w:val="1"/>
        </w:numPr>
        <w:rPr>
          <w:rFonts w:ascii="Times New Roman" w:hAnsi="Times New Roman" w:cs="Times New Roman"/>
        </w:rPr>
      </w:pPr>
      <w:r w:rsidRPr="000139AC">
        <w:rPr>
          <w:rFonts w:ascii="Times New Roman" w:hAnsi="Times New Roman" w:cs="Times New Roman"/>
        </w:rPr>
        <w:t>Available for purchase on Amazon.com:</w:t>
      </w:r>
    </w:p>
    <w:p w14:paraId="4E079B2D" w14:textId="77777777" w:rsidR="00047ACC" w:rsidRPr="000139AC" w:rsidRDefault="00047ACC" w:rsidP="00047ACC">
      <w:pPr>
        <w:rPr>
          <w:rFonts w:ascii="Times New Roman" w:hAnsi="Times New Roman" w:cs="Times New Roman"/>
        </w:rPr>
      </w:pPr>
      <w:hyperlink r:id="rId7" w:tgtFrame="_blank" w:history="1">
        <w:r w:rsidRPr="000139AC">
          <w:rPr>
            <w:rStyle w:val="Hyperlink"/>
            <w:rFonts w:ascii="Times New Roman" w:hAnsi="Times New Roman" w:cs="Times New Roman"/>
          </w:rPr>
          <w:t>amazon.com/Green-Cities-Europe-Lessons-Urbanism/dp/1597269751Links to an external site.</w:t>
        </w:r>
      </w:hyperlink>
    </w:p>
    <w:p w14:paraId="14D8E65E"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Mell, Ian, </w:t>
      </w:r>
      <w:r w:rsidRPr="000139AC">
        <w:rPr>
          <w:rFonts w:ascii="Times New Roman" w:hAnsi="Times New Roman" w:cs="Times New Roman"/>
          <w:b/>
          <w:bCs/>
          <w:i/>
          <w:iCs/>
        </w:rPr>
        <w:t>Global Green Infrastructure:  Lesson for Successful Policy-Making, Investment and Management</w:t>
      </w:r>
      <w:r w:rsidRPr="000139AC">
        <w:rPr>
          <w:rFonts w:ascii="Times New Roman" w:hAnsi="Times New Roman" w:cs="Times New Roman"/>
          <w:b/>
          <w:bCs/>
        </w:rPr>
        <w:t>.  London:  Routledge, 2016.</w:t>
      </w:r>
    </w:p>
    <w:p w14:paraId="600A4F88"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Europe Sustainable Development Solution Network, </w:t>
      </w:r>
      <w:r w:rsidRPr="000139AC">
        <w:rPr>
          <w:rFonts w:ascii="Times New Roman" w:hAnsi="Times New Roman" w:cs="Times New Roman"/>
          <w:b/>
          <w:bCs/>
          <w:i/>
          <w:iCs/>
        </w:rPr>
        <w:t>Europe Sustainable Development Report, 2022</w:t>
      </w:r>
      <w:r w:rsidRPr="000139AC">
        <w:rPr>
          <w:rFonts w:ascii="Times New Roman" w:hAnsi="Times New Roman" w:cs="Times New Roman"/>
          <w:b/>
          <w:bCs/>
        </w:rPr>
        <w:t>.</w:t>
      </w:r>
    </w:p>
    <w:p w14:paraId="0699F4C5" w14:textId="77777777" w:rsidR="00047ACC" w:rsidRPr="000139AC" w:rsidRDefault="00047ACC" w:rsidP="00047ACC">
      <w:pPr>
        <w:rPr>
          <w:rFonts w:ascii="Times New Roman" w:hAnsi="Times New Roman" w:cs="Times New Roman"/>
        </w:rPr>
      </w:pPr>
      <w:hyperlink r:id="rId8" w:tgtFrame="_blank" w:history="1">
        <w:r w:rsidRPr="000139AC">
          <w:rPr>
            <w:rStyle w:val="Hyperlink"/>
            <w:rFonts w:ascii="Times New Roman" w:hAnsi="Times New Roman" w:cs="Times New Roman"/>
          </w:rPr>
          <w:t>https://www.sustainabledevelopment.report/reports/europe-sustainable-development-report-2022Links to an external site.</w:t>
        </w:r>
      </w:hyperlink>
    </w:p>
    <w:p w14:paraId="23AA0EAD" w14:textId="77777777" w:rsidR="001D23E8" w:rsidRPr="000139AC" w:rsidRDefault="001D23E8" w:rsidP="00047ACC">
      <w:pPr>
        <w:rPr>
          <w:rFonts w:ascii="Times New Roman" w:hAnsi="Times New Roman" w:cs="Times New Roman"/>
          <w:b/>
          <w:bCs/>
        </w:rPr>
      </w:pPr>
      <w:r w:rsidRPr="000139AC">
        <w:rPr>
          <w:rFonts w:ascii="Times New Roman" w:hAnsi="Times New Roman" w:cs="Times New Roman"/>
          <w:b/>
          <w:bCs/>
        </w:rPr>
        <w:t>Urban Agenda for the EU – European Commission</w:t>
      </w:r>
    </w:p>
    <w:p w14:paraId="0D668631" w14:textId="3ADC2938" w:rsidR="00047ACC" w:rsidRPr="000139AC" w:rsidRDefault="001D23E8" w:rsidP="00047ACC">
      <w:pPr>
        <w:rPr>
          <w:rFonts w:ascii="Times New Roman" w:hAnsi="Times New Roman" w:cs="Times New Roman"/>
        </w:rPr>
      </w:pPr>
      <w:r w:rsidRPr="000139AC">
        <w:rPr>
          <w:rFonts w:ascii="Times New Roman" w:hAnsi="Times New Roman" w:cs="Times New Roman"/>
          <w:u w:val="single"/>
        </w:rPr>
        <w:t>https://commission.europa.eu/eu--regional-and-urba</w:t>
      </w:r>
      <w:r w:rsidRPr="000139AC">
        <w:rPr>
          <w:rFonts w:ascii="Times New Roman" w:hAnsi="Times New Roman" w:cs="Times New Roman"/>
        </w:rPr>
        <w:t>n-development/topic/cities-and-urban-development/urban-agenda-eu_en</w:t>
      </w:r>
    </w:p>
    <w:p w14:paraId="3136C9D7"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Assignments</w:t>
      </w:r>
    </w:p>
    <w:p w14:paraId="1DEA04E4"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Case Study Project - </w:t>
      </w:r>
      <w:r w:rsidRPr="000139AC">
        <w:rPr>
          <w:rFonts w:ascii="Times New Roman" w:hAnsi="Times New Roman" w:cs="Times New Roman"/>
        </w:rPr>
        <w:t>Students will select one of the cities featured in Beatley (2012), or if desired, another notable European city, to pursue a research project.  The chapters provide information about some of the leading sustainability initiatives underway in select cities at the time that Beatley’s authors prepared their chapters.  The purpose of your work is to explore other possible sustainability initiatives in that city, to bring up-to-date efforts that were covered in the chapter, and to critically assess the conclusions reached by the author of the chapter on overall sustainability efforts.  If you choose another city beyond the selections in Beatley, be sure to include some more general background concerning it efforts to promote sustainability.  The report should be prepared in a roughly 10 page paper, typed, and including references to the sources used for the analysis.  A brief PowerPoint presentation, with illustrations, should accompany the paper.  The overall project is worth 40 % of the course grade, with 10% for the PowerPoint and 30% for the paper.  By the 3</w:t>
      </w:r>
      <w:r w:rsidRPr="000139AC">
        <w:rPr>
          <w:rFonts w:ascii="Times New Roman" w:hAnsi="Times New Roman" w:cs="Times New Roman"/>
          <w:vertAlign w:val="superscript"/>
        </w:rPr>
        <w:t>rd</w:t>
      </w:r>
      <w:r w:rsidRPr="000139AC">
        <w:rPr>
          <w:rFonts w:ascii="Times New Roman" w:hAnsi="Times New Roman" w:cs="Times New Roman"/>
        </w:rPr>
        <w:t> week, please inform me which city you have selected for the case study project.</w:t>
      </w:r>
    </w:p>
    <w:p w14:paraId="35CA52C1"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Discussions - </w:t>
      </w:r>
      <w:r w:rsidRPr="000139AC">
        <w:rPr>
          <w:rFonts w:ascii="Times New Roman" w:hAnsi="Times New Roman" w:cs="Times New Roman"/>
        </w:rPr>
        <w:t>Discussion questions will be posted for each module and will focus on key themes and issues relevant to each module. Active and on-going participation in the weekly discussion boards is important. You should submit twice for each module; one original post and a response to at least one other student's post. Your original posts should not be a summary of the readings. This is a chance to think critically about the reading and write up your reflection.</w:t>
      </w:r>
    </w:p>
    <w:p w14:paraId="2DD58B3C" w14:textId="1C0B2B96" w:rsidR="00047ACC" w:rsidRPr="000139AC" w:rsidRDefault="009D6E13" w:rsidP="00047ACC">
      <w:pPr>
        <w:rPr>
          <w:rFonts w:ascii="Times New Roman" w:hAnsi="Times New Roman" w:cs="Times New Roman"/>
        </w:rPr>
      </w:pPr>
      <w:r>
        <w:rPr>
          <w:rFonts w:ascii="Times New Roman" w:hAnsi="Times New Roman" w:cs="Times New Roman"/>
          <w:b/>
          <w:bCs/>
        </w:rPr>
        <w:t xml:space="preserve">Mid-term and </w:t>
      </w:r>
      <w:r w:rsidR="00047ACC" w:rsidRPr="000139AC">
        <w:rPr>
          <w:rFonts w:ascii="Times New Roman" w:hAnsi="Times New Roman" w:cs="Times New Roman"/>
          <w:b/>
          <w:bCs/>
        </w:rPr>
        <w:t>Final Examination</w:t>
      </w:r>
      <w:r>
        <w:rPr>
          <w:rFonts w:ascii="Times New Roman" w:hAnsi="Times New Roman" w:cs="Times New Roman"/>
          <w:b/>
          <w:bCs/>
        </w:rPr>
        <w:t>s</w:t>
      </w:r>
      <w:r w:rsidR="00047ACC" w:rsidRPr="000139AC">
        <w:rPr>
          <w:rFonts w:ascii="Times New Roman" w:hAnsi="Times New Roman" w:cs="Times New Roman"/>
          <w:b/>
          <w:bCs/>
        </w:rPr>
        <w:t xml:space="preserve"> - </w:t>
      </w:r>
      <w:r w:rsidR="00047ACC" w:rsidRPr="000139AC">
        <w:rPr>
          <w:rFonts w:ascii="Times New Roman" w:hAnsi="Times New Roman" w:cs="Times New Roman"/>
        </w:rPr>
        <w:t>There will be a</w:t>
      </w:r>
      <w:r>
        <w:rPr>
          <w:rFonts w:ascii="Times New Roman" w:hAnsi="Times New Roman" w:cs="Times New Roman"/>
        </w:rPr>
        <w:t xml:space="preserve"> midterm examination following Module 3 and</w:t>
      </w:r>
      <w:r w:rsidR="00047ACC" w:rsidRPr="000139AC">
        <w:rPr>
          <w:rFonts w:ascii="Times New Roman" w:hAnsi="Times New Roman" w:cs="Times New Roman"/>
        </w:rPr>
        <w:t xml:space="preserve"> final examination conducted as a take‐home examination, accessible </w:t>
      </w:r>
      <w:r w:rsidR="00F60C7C">
        <w:rPr>
          <w:rFonts w:ascii="Times New Roman" w:hAnsi="Times New Roman" w:cs="Times New Roman"/>
        </w:rPr>
        <w:t>the final week of the term</w:t>
      </w:r>
      <w:r w:rsidR="00047ACC" w:rsidRPr="000139AC">
        <w:rPr>
          <w:rFonts w:ascii="Times New Roman" w:hAnsi="Times New Roman" w:cs="Times New Roman"/>
        </w:rPr>
        <w:t xml:space="preserve"> of the term.</w:t>
      </w:r>
    </w:p>
    <w:p w14:paraId="744B3D75"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0581A858"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lastRenderedPageBreak/>
        <w:t>Course Grading</w:t>
      </w:r>
    </w:p>
    <w:p w14:paraId="5A23EEBD" w14:textId="77FDF383" w:rsidR="00047ACC" w:rsidRDefault="00047ACC" w:rsidP="00047ACC">
      <w:pPr>
        <w:rPr>
          <w:rFonts w:ascii="Times New Roman" w:hAnsi="Times New Roman" w:cs="Times New Roman"/>
        </w:rPr>
      </w:pPr>
      <w:r w:rsidRPr="000139AC">
        <w:rPr>
          <w:rFonts w:ascii="Times New Roman" w:hAnsi="Times New Roman" w:cs="Times New Roman"/>
        </w:rPr>
        <w:t xml:space="preserve">Discussion posts = </w:t>
      </w:r>
      <w:r w:rsidR="00D95DA3">
        <w:rPr>
          <w:rFonts w:ascii="Times New Roman" w:hAnsi="Times New Roman" w:cs="Times New Roman"/>
        </w:rPr>
        <w:t>25</w:t>
      </w:r>
      <w:r w:rsidRPr="000139AC">
        <w:rPr>
          <w:rFonts w:ascii="Times New Roman" w:hAnsi="Times New Roman" w:cs="Times New Roman"/>
        </w:rPr>
        <w:t>%</w:t>
      </w:r>
    </w:p>
    <w:p w14:paraId="2E5BAE6E" w14:textId="65BF5807" w:rsidR="00D95DA3" w:rsidRPr="000139AC" w:rsidRDefault="00D95DA3" w:rsidP="00047ACC">
      <w:pPr>
        <w:rPr>
          <w:rFonts w:ascii="Times New Roman" w:hAnsi="Times New Roman" w:cs="Times New Roman"/>
        </w:rPr>
      </w:pPr>
      <w:r>
        <w:rPr>
          <w:rFonts w:ascii="Times New Roman" w:hAnsi="Times New Roman" w:cs="Times New Roman"/>
        </w:rPr>
        <w:t>Midterm Examination – 15%</w:t>
      </w:r>
    </w:p>
    <w:p w14:paraId="2F8AC066" w14:textId="4F439E7B" w:rsidR="00047ACC" w:rsidRPr="000139AC" w:rsidRDefault="00047ACC" w:rsidP="00047ACC">
      <w:pPr>
        <w:rPr>
          <w:rFonts w:ascii="Times New Roman" w:hAnsi="Times New Roman" w:cs="Times New Roman"/>
        </w:rPr>
      </w:pPr>
      <w:r w:rsidRPr="000139AC">
        <w:rPr>
          <w:rFonts w:ascii="Times New Roman" w:hAnsi="Times New Roman" w:cs="Times New Roman"/>
        </w:rPr>
        <w:t xml:space="preserve">Case Study Project = </w:t>
      </w:r>
      <w:r w:rsidR="00D95DA3">
        <w:rPr>
          <w:rFonts w:ascii="Times New Roman" w:hAnsi="Times New Roman" w:cs="Times New Roman"/>
        </w:rPr>
        <w:t>3</w:t>
      </w:r>
      <w:r w:rsidRPr="000139AC">
        <w:rPr>
          <w:rFonts w:ascii="Times New Roman" w:hAnsi="Times New Roman" w:cs="Times New Roman"/>
        </w:rPr>
        <w:t>0%</w:t>
      </w:r>
    </w:p>
    <w:p w14:paraId="7903C691"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Final examination = 30%</w:t>
      </w:r>
    </w:p>
    <w:p w14:paraId="20E5ADC0"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26476901"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Course Structure </w:t>
      </w:r>
      <w:r w:rsidRPr="000139AC">
        <w:rPr>
          <w:rFonts w:ascii="Times New Roman" w:hAnsi="Times New Roman" w:cs="Times New Roman"/>
        </w:rPr>
        <w:t> </w:t>
      </w:r>
    </w:p>
    <w:p w14:paraId="1C94256E"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This course comprises 8 modules:</w:t>
      </w:r>
    </w:p>
    <w:p w14:paraId="7A6CAD2C" w14:textId="13DC30C9" w:rsidR="00047ACC" w:rsidRPr="000139AC" w:rsidRDefault="00047ACC" w:rsidP="00047ACC">
      <w:pPr>
        <w:rPr>
          <w:rFonts w:ascii="Times New Roman" w:hAnsi="Times New Roman" w:cs="Times New Roman"/>
        </w:rPr>
      </w:pPr>
      <w:r w:rsidRPr="000139AC">
        <w:rPr>
          <w:rFonts w:ascii="Times New Roman" w:hAnsi="Times New Roman" w:cs="Times New Roman"/>
        </w:rPr>
        <w:t> </w:t>
      </w:r>
      <w:r w:rsidR="00F60C7C">
        <w:rPr>
          <w:rFonts w:ascii="Times New Roman" w:hAnsi="Times New Roman" w:cs="Times New Roman"/>
        </w:rPr>
        <w:t>Module</w:t>
      </w:r>
      <w:r w:rsidRPr="000139AC">
        <w:rPr>
          <w:rFonts w:ascii="Times New Roman" w:hAnsi="Times New Roman" w:cs="Times New Roman"/>
        </w:rPr>
        <w:t xml:space="preserve"> 1: Introduction to Sustainability and Urbanism: European Context</w:t>
      </w:r>
    </w:p>
    <w:p w14:paraId="363C6460" w14:textId="2A87DA4F" w:rsidR="00047ACC" w:rsidRPr="000139AC" w:rsidRDefault="00047ACC" w:rsidP="00047ACC">
      <w:pPr>
        <w:rPr>
          <w:rFonts w:ascii="Times New Roman" w:hAnsi="Times New Roman" w:cs="Times New Roman"/>
        </w:rPr>
      </w:pPr>
      <w:r w:rsidRPr="000139AC">
        <w:rPr>
          <w:rFonts w:ascii="Times New Roman" w:hAnsi="Times New Roman" w:cs="Times New Roman"/>
        </w:rPr>
        <w:t> </w:t>
      </w:r>
      <w:r w:rsidR="00F60C7C">
        <w:rPr>
          <w:rFonts w:ascii="Times New Roman" w:hAnsi="Times New Roman" w:cs="Times New Roman"/>
        </w:rPr>
        <w:t xml:space="preserve">Module </w:t>
      </w:r>
      <w:r w:rsidRPr="000139AC">
        <w:rPr>
          <w:rFonts w:ascii="Times New Roman" w:hAnsi="Times New Roman" w:cs="Times New Roman"/>
        </w:rPr>
        <w:t>2: Historical Antecedents of European Sustainable Urbanization</w:t>
      </w:r>
    </w:p>
    <w:p w14:paraId="45E38639" w14:textId="52364E51" w:rsidR="00047ACC" w:rsidRPr="000139AC" w:rsidRDefault="00047ACC" w:rsidP="00047ACC">
      <w:pPr>
        <w:rPr>
          <w:rFonts w:ascii="Times New Roman" w:hAnsi="Times New Roman" w:cs="Times New Roman"/>
        </w:rPr>
      </w:pPr>
      <w:r w:rsidRPr="000139AC">
        <w:rPr>
          <w:rFonts w:ascii="Times New Roman" w:hAnsi="Times New Roman" w:cs="Times New Roman"/>
        </w:rPr>
        <w:t> </w:t>
      </w:r>
      <w:r w:rsidR="00F60C7C">
        <w:rPr>
          <w:rFonts w:ascii="Times New Roman" w:hAnsi="Times New Roman" w:cs="Times New Roman"/>
        </w:rPr>
        <w:t>Module</w:t>
      </w:r>
      <w:r w:rsidRPr="000139AC">
        <w:rPr>
          <w:rFonts w:ascii="Times New Roman" w:hAnsi="Times New Roman" w:cs="Times New Roman"/>
        </w:rPr>
        <w:t xml:space="preserve"> 3: Land Use, Urban Form and Environment</w:t>
      </w:r>
    </w:p>
    <w:p w14:paraId="44A12042" w14:textId="70E3778A" w:rsidR="00047ACC" w:rsidRPr="000139AC" w:rsidRDefault="00047ACC" w:rsidP="00047ACC">
      <w:pPr>
        <w:rPr>
          <w:rFonts w:ascii="Times New Roman" w:hAnsi="Times New Roman" w:cs="Times New Roman"/>
        </w:rPr>
      </w:pPr>
      <w:r w:rsidRPr="000139AC">
        <w:rPr>
          <w:rFonts w:ascii="Times New Roman" w:hAnsi="Times New Roman" w:cs="Times New Roman"/>
        </w:rPr>
        <w:t> </w:t>
      </w:r>
      <w:r w:rsidR="00F60C7C">
        <w:rPr>
          <w:rFonts w:ascii="Times New Roman" w:hAnsi="Times New Roman" w:cs="Times New Roman"/>
        </w:rPr>
        <w:t xml:space="preserve">Module </w:t>
      </w:r>
      <w:r w:rsidRPr="000139AC">
        <w:rPr>
          <w:rFonts w:ascii="Times New Roman" w:hAnsi="Times New Roman" w:cs="Times New Roman"/>
        </w:rPr>
        <w:t>4: Transportation</w:t>
      </w:r>
    </w:p>
    <w:p w14:paraId="745F5EDD" w14:textId="2AD3875E" w:rsidR="00047ACC" w:rsidRPr="000139AC" w:rsidRDefault="00047ACC" w:rsidP="00047ACC">
      <w:pPr>
        <w:rPr>
          <w:rFonts w:ascii="Times New Roman" w:hAnsi="Times New Roman" w:cs="Times New Roman"/>
        </w:rPr>
      </w:pPr>
      <w:r w:rsidRPr="000139AC">
        <w:rPr>
          <w:rFonts w:ascii="Times New Roman" w:hAnsi="Times New Roman" w:cs="Times New Roman"/>
        </w:rPr>
        <w:t> </w:t>
      </w:r>
      <w:r w:rsidR="00F60C7C">
        <w:rPr>
          <w:rFonts w:ascii="Times New Roman" w:hAnsi="Times New Roman" w:cs="Times New Roman"/>
        </w:rPr>
        <w:t>Module</w:t>
      </w:r>
      <w:r w:rsidRPr="000139AC">
        <w:rPr>
          <w:rFonts w:ascii="Times New Roman" w:hAnsi="Times New Roman" w:cs="Times New Roman"/>
        </w:rPr>
        <w:t xml:space="preserve"> 5: Central City Preservation and Revitalization, Residential Areas</w:t>
      </w:r>
    </w:p>
    <w:p w14:paraId="09C72ACA" w14:textId="3B6158FF" w:rsidR="00047ACC" w:rsidRPr="000139AC" w:rsidRDefault="00047ACC" w:rsidP="00047ACC">
      <w:pPr>
        <w:rPr>
          <w:rFonts w:ascii="Times New Roman" w:hAnsi="Times New Roman" w:cs="Times New Roman"/>
        </w:rPr>
      </w:pPr>
      <w:r w:rsidRPr="000139AC">
        <w:rPr>
          <w:rFonts w:ascii="Times New Roman" w:hAnsi="Times New Roman" w:cs="Times New Roman"/>
        </w:rPr>
        <w:t> </w:t>
      </w:r>
      <w:r w:rsidR="00F60C7C">
        <w:rPr>
          <w:rFonts w:ascii="Times New Roman" w:hAnsi="Times New Roman" w:cs="Times New Roman"/>
        </w:rPr>
        <w:t xml:space="preserve">Module </w:t>
      </w:r>
      <w:r w:rsidRPr="000139AC">
        <w:rPr>
          <w:rFonts w:ascii="Times New Roman" w:hAnsi="Times New Roman" w:cs="Times New Roman"/>
        </w:rPr>
        <w:t>6: Ecology and Energy Needs</w:t>
      </w:r>
    </w:p>
    <w:p w14:paraId="38C14D71" w14:textId="31C04800" w:rsidR="00047ACC" w:rsidRPr="000139AC" w:rsidRDefault="00047ACC" w:rsidP="00047ACC">
      <w:pPr>
        <w:rPr>
          <w:rFonts w:ascii="Times New Roman" w:hAnsi="Times New Roman" w:cs="Times New Roman"/>
        </w:rPr>
      </w:pPr>
      <w:r w:rsidRPr="000139AC">
        <w:rPr>
          <w:rFonts w:ascii="Times New Roman" w:hAnsi="Times New Roman" w:cs="Times New Roman"/>
        </w:rPr>
        <w:t> </w:t>
      </w:r>
      <w:r w:rsidR="00F60C7C">
        <w:rPr>
          <w:rFonts w:ascii="Times New Roman" w:hAnsi="Times New Roman" w:cs="Times New Roman"/>
        </w:rPr>
        <w:t>Module</w:t>
      </w:r>
      <w:r w:rsidRPr="000139AC">
        <w:rPr>
          <w:rFonts w:ascii="Times New Roman" w:hAnsi="Times New Roman" w:cs="Times New Roman"/>
        </w:rPr>
        <w:t xml:space="preserve"> 7: Green Governance and Economic Development</w:t>
      </w:r>
    </w:p>
    <w:p w14:paraId="6AC4BB85" w14:textId="3C4E9849" w:rsidR="00047ACC" w:rsidRPr="000139AC" w:rsidRDefault="00047ACC" w:rsidP="00047ACC">
      <w:pPr>
        <w:rPr>
          <w:rFonts w:ascii="Times New Roman" w:hAnsi="Times New Roman" w:cs="Times New Roman"/>
        </w:rPr>
      </w:pPr>
      <w:r w:rsidRPr="000139AC">
        <w:rPr>
          <w:rFonts w:ascii="Times New Roman" w:hAnsi="Times New Roman" w:cs="Times New Roman"/>
        </w:rPr>
        <w:t> </w:t>
      </w:r>
      <w:r w:rsidR="00F60C7C">
        <w:rPr>
          <w:rFonts w:ascii="Times New Roman" w:hAnsi="Times New Roman" w:cs="Times New Roman"/>
        </w:rPr>
        <w:t>Module</w:t>
      </w:r>
      <w:r w:rsidRPr="000139AC">
        <w:rPr>
          <w:rFonts w:ascii="Times New Roman" w:hAnsi="Times New Roman" w:cs="Times New Roman"/>
        </w:rPr>
        <w:t xml:space="preserve"> 8: Green Cities of Europe as Global Models</w:t>
      </w:r>
    </w:p>
    <w:p w14:paraId="4E51BE82" w14:textId="77777777" w:rsidR="00D95DA3" w:rsidRDefault="00D95DA3" w:rsidP="00047ACC">
      <w:pPr>
        <w:rPr>
          <w:rFonts w:ascii="Times New Roman" w:hAnsi="Times New Roman" w:cs="Times New Roman"/>
          <w:b/>
          <w:bCs/>
        </w:rPr>
      </w:pPr>
    </w:p>
    <w:p w14:paraId="185AC47F" w14:textId="6473ECD6" w:rsidR="00047ACC" w:rsidRPr="000139AC" w:rsidRDefault="00047ACC" w:rsidP="00047ACC">
      <w:pPr>
        <w:rPr>
          <w:rFonts w:ascii="Times New Roman" w:hAnsi="Times New Roman" w:cs="Times New Roman"/>
        </w:rPr>
      </w:pPr>
      <w:r w:rsidRPr="000139AC">
        <w:rPr>
          <w:rFonts w:ascii="Times New Roman" w:hAnsi="Times New Roman" w:cs="Times New Roman"/>
          <w:b/>
          <w:bCs/>
        </w:rPr>
        <w:t>Class Schedule/Readings/Topics:</w:t>
      </w:r>
    </w:p>
    <w:p w14:paraId="35B8C78F" w14:textId="77777777" w:rsidR="00D95DA3" w:rsidRDefault="00047ACC" w:rsidP="00047ACC">
      <w:pPr>
        <w:rPr>
          <w:rFonts w:ascii="Times New Roman" w:hAnsi="Times New Roman" w:cs="Times New Roman"/>
        </w:rPr>
      </w:pPr>
      <w:r w:rsidRPr="000139AC">
        <w:rPr>
          <w:rFonts w:ascii="Times New Roman" w:hAnsi="Times New Roman" w:cs="Times New Roman"/>
        </w:rPr>
        <w:t> </w:t>
      </w:r>
    </w:p>
    <w:p w14:paraId="0A1763B1" w14:textId="5DFFB467" w:rsidR="00047ACC" w:rsidRPr="000139AC" w:rsidRDefault="00047ACC" w:rsidP="00047ACC">
      <w:pPr>
        <w:rPr>
          <w:rFonts w:ascii="Times New Roman" w:hAnsi="Times New Roman" w:cs="Times New Roman"/>
        </w:rPr>
      </w:pPr>
      <w:r w:rsidRPr="006D4571">
        <w:rPr>
          <w:rFonts w:ascii="Times New Roman" w:hAnsi="Times New Roman" w:cs="Times New Roman"/>
          <w:b/>
          <w:bCs/>
        </w:rPr>
        <w:t>Module 1</w:t>
      </w:r>
      <w:r w:rsidRPr="000139AC">
        <w:rPr>
          <w:rFonts w:ascii="Times New Roman" w:hAnsi="Times New Roman" w:cs="Times New Roman"/>
        </w:rPr>
        <w:t xml:space="preserve"> January 1</w:t>
      </w:r>
      <w:r w:rsidR="000139AC" w:rsidRPr="000139AC">
        <w:rPr>
          <w:rFonts w:ascii="Times New Roman" w:hAnsi="Times New Roman" w:cs="Times New Roman"/>
        </w:rPr>
        <w:t>2</w:t>
      </w:r>
      <w:r w:rsidRPr="000139AC">
        <w:rPr>
          <w:rFonts w:ascii="Times New Roman" w:hAnsi="Times New Roman" w:cs="Times New Roman"/>
        </w:rPr>
        <w:t>-2</w:t>
      </w:r>
      <w:r w:rsidR="000139AC" w:rsidRPr="000139AC">
        <w:rPr>
          <w:rFonts w:ascii="Times New Roman" w:hAnsi="Times New Roman" w:cs="Times New Roman"/>
        </w:rPr>
        <w:t>5</w:t>
      </w:r>
    </w:p>
    <w:p w14:paraId="3E583D5D"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Introduction to Sustainability and Urbanism Concepts:  European Context</w:t>
      </w:r>
    </w:p>
    <w:p w14:paraId="5A36FE3D"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Read: Beatley (2012), Chapter 1, “Introduction:  Why Study European Cities?”; Douglas Farr, “Sustainable Urbanism: The Grand Unification,” p. 41‐59, in Farr, </w:t>
      </w:r>
      <w:r w:rsidRPr="000139AC">
        <w:rPr>
          <w:rFonts w:ascii="Times New Roman" w:hAnsi="Times New Roman" w:cs="Times New Roman"/>
          <w:i/>
          <w:iCs/>
        </w:rPr>
        <w:t>Sustainable Urbanism: Urban Design With Nature </w:t>
      </w:r>
      <w:r w:rsidRPr="000139AC">
        <w:rPr>
          <w:rFonts w:ascii="Times New Roman" w:hAnsi="Times New Roman" w:cs="Times New Roman"/>
        </w:rPr>
        <w:t>(Wiley, 2008);Robert Doppelt, “The Gift,” p. 1‐13, in Doppelt, </w:t>
      </w:r>
      <w:r w:rsidRPr="000139AC">
        <w:rPr>
          <w:rFonts w:ascii="Times New Roman" w:hAnsi="Times New Roman" w:cs="Times New Roman"/>
          <w:i/>
          <w:iCs/>
        </w:rPr>
        <w:t>The Power of Sustainable Thinking </w:t>
      </w:r>
      <w:r w:rsidRPr="000139AC">
        <w:rPr>
          <w:rFonts w:ascii="Times New Roman" w:hAnsi="Times New Roman" w:cs="Times New Roman"/>
        </w:rPr>
        <w:t>(Earthscan, 2009);  European Union Regional Policy, </w:t>
      </w:r>
      <w:r w:rsidRPr="000139AC">
        <w:rPr>
          <w:rFonts w:ascii="Times New Roman" w:hAnsi="Times New Roman" w:cs="Times New Roman"/>
          <w:i/>
          <w:iCs/>
        </w:rPr>
        <w:t>Promoting Sustainable Urban Development in </w:t>
      </w:r>
      <w:r w:rsidRPr="000139AC">
        <w:rPr>
          <w:rFonts w:ascii="Times New Roman" w:hAnsi="Times New Roman" w:cs="Times New Roman"/>
        </w:rPr>
        <w:t>Europe, 2009 (available online)</w:t>
      </w:r>
    </w:p>
    <w:p w14:paraId="0AC441C1"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Power point, “Emerging Trends in Sustainable Development”</w:t>
      </w:r>
    </w:p>
    <w:p w14:paraId="7FE18826" w14:textId="4F5D3ACE" w:rsidR="00047ACC" w:rsidRPr="000139AC" w:rsidRDefault="00047ACC" w:rsidP="00047ACC">
      <w:pPr>
        <w:rPr>
          <w:rFonts w:ascii="Times New Roman" w:hAnsi="Times New Roman" w:cs="Times New Roman"/>
        </w:rPr>
      </w:pPr>
      <w:r w:rsidRPr="006D4571">
        <w:rPr>
          <w:rFonts w:ascii="Times New Roman" w:hAnsi="Times New Roman" w:cs="Times New Roman"/>
          <w:b/>
          <w:bCs/>
        </w:rPr>
        <w:t>Module 2</w:t>
      </w:r>
      <w:r w:rsidRPr="000139AC">
        <w:rPr>
          <w:rFonts w:ascii="Times New Roman" w:hAnsi="Times New Roman" w:cs="Times New Roman"/>
        </w:rPr>
        <w:t xml:space="preserve"> January 2</w:t>
      </w:r>
      <w:r w:rsidR="000139AC" w:rsidRPr="000139AC">
        <w:rPr>
          <w:rFonts w:ascii="Times New Roman" w:hAnsi="Times New Roman" w:cs="Times New Roman"/>
        </w:rPr>
        <w:t>6</w:t>
      </w:r>
      <w:r w:rsidRPr="000139AC">
        <w:rPr>
          <w:rFonts w:ascii="Times New Roman" w:hAnsi="Times New Roman" w:cs="Times New Roman"/>
        </w:rPr>
        <w:t xml:space="preserve">-February </w:t>
      </w:r>
      <w:r w:rsidR="000139AC" w:rsidRPr="000139AC">
        <w:rPr>
          <w:rFonts w:ascii="Times New Roman" w:hAnsi="Times New Roman" w:cs="Times New Roman"/>
        </w:rPr>
        <w:t>8</w:t>
      </w:r>
    </w:p>
    <w:p w14:paraId="0A312985"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Historical Antecedents of European Sustainable Urbanization</w:t>
      </w:r>
    </w:p>
    <w:p w14:paraId="1B1295C8"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Read: Joseph and Frances Gies, </w:t>
      </w:r>
      <w:r w:rsidRPr="000139AC">
        <w:rPr>
          <w:rFonts w:ascii="Times New Roman" w:hAnsi="Times New Roman" w:cs="Times New Roman"/>
          <w:i/>
          <w:iCs/>
        </w:rPr>
        <w:t>Life in a Medieval City </w:t>
      </w:r>
      <w:r w:rsidRPr="000139AC">
        <w:rPr>
          <w:rFonts w:ascii="Times New Roman" w:hAnsi="Times New Roman" w:cs="Times New Roman"/>
        </w:rPr>
        <w:t>(1969), p. 23‐31; Mervyn Miller, “The Origins of the Garden City Residential Neighborhood,” p. 99‐130, in Parsons and Schuyler, eds., </w:t>
      </w:r>
      <w:r w:rsidRPr="000139AC">
        <w:rPr>
          <w:rFonts w:ascii="Times New Roman" w:hAnsi="Times New Roman" w:cs="Times New Roman"/>
          <w:i/>
          <w:iCs/>
        </w:rPr>
        <w:t>From Garden City</w:t>
      </w:r>
      <w:r w:rsidRPr="000139AC">
        <w:rPr>
          <w:rFonts w:ascii="Times New Roman" w:hAnsi="Times New Roman" w:cs="Times New Roman"/>
        </w:rPr>
        <w:t> </w:t>
      </w:r>
      <w:r w:rsidRPr="000139AC">
        <w:rPr>
          <w:rFonts w:ascii="Times New Roman" w:hAnsi="Times New Roman" w:cs="Times New Roman"/>
          <w:i/>
          <w:iCs/>
        </w:rPr>
        <w:t>to Green City: The Legacy of Ebenezer Howard </w:t>
      </w:r>
      <w:r w:rsidRPr="000139AC">
        <w:rPr>
          <w:rFonts w:ascii="Times New Roman" w:hAnsi="Times New Roman" w:cs="Times New Roman"/>
        </w:rPr>
        <w:t xml:space="preserve">(Johns Hopkins U. Press, 2002); Ian Mell, “The </w:t>
      </w:r>
      <w:r w:rsidRPr="000139AC">
        <w:rPr>
          <w:rFonts w:ascii="Times New Roman" w:hAnsi="Times New Roman" w:cs="Times New Roman"/>
        </w:rPr>
        <w:lastRenderedPageBreak/>
        <w:t>Antecedents of Green Infrastructure:  Olmsted, Howard and Beyond,” in Mell, I. </w:t>
      </w:r>
      <w:r w:rsidRPr="000139AC">
        <w:rPr>
          <w:rFonts w:ascii="Times New Roman" w:hAnsi="Times New Roman" w:cs="Times New Roman"/>
          <w:i/>
          <w:iCs/>
        </w:rPr>
        <w:t>Global Green Infrastructure</w:t>
      </w:r>
      <w:r w:rsidRPr="000139AC">
        <w:rPr>
          <w:rFonts w:ascii="Times New Roman" w:hAnsi="Times New Roman" w:cs="Times New Roman"/>
        </w:rPr>
        <w:t> (Routledge, 2016), p. 17-41.</w:t>
      </w:r>
    </w:p>
    <w:p w14:paraId="3308D18E"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Power point, “Historical Perspective on European Cities”</w:t>
      </w:r>
    </w:p>
    <w:p w14:paraId="745BFB64"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07C81E1F" w14:textId="66360D7B" w:rsidR="00047ACC" w:rsidRPr="000139AC" w:rsidRDefault="00047ACC" w:rsidP="00047ACC">
      <w:pPr>
        <w:rPr>
          <w:rFonts w:ascii="Times New Roman" w:hAnsi="Times New Roman" w:cs="Times New Roman"/>
        </w:rPr>
      </w:pPr>
      <w:r w:rsidRPr="006D4571">
        <w:rPr>
          <w:rFonts w:ascii="Times New Roman" w:hAnsi="Times New Roman" w:cs="Times New Roman"/>
          <w:b/>
          <w:bCs/>
        </w:rPr>
        <w:t>Module 3</w:t>
      </w:r>
      <w:r w:rsidRPr="000139AC">
        <w:rPr>
          <w:rFonts w:ascii="Times New Roman" w:hAnsi="Times New Roman" w:cs="Times New Roman"/>
        </w:rPr>
        <w:t xml:space="preserve"> February </w:t>
      </w:r>
      <w:r w:rsidR="000139AC" w:rsidRPr="000139AC">
        <w:rPr>
          <w:rFonts w:ascii="Times New Roman" w:hAnsi="Times New Roman" w:cs="Times New Roman"/>
        </w:rPr>
        <w:t>9</w:t>
      </w:r>
      <w:r w:rsidRPr="000139AC">
        <w:rPr>
          <w:rFonts w:ascii="Times New Roman" w:hAnsi="Times New Roman" w:cs="Times New Roman"/>
        </w:rPr>
        <w:t>-2</w:t>
      </w:r>
      <w:r w:rsidR="000139AC" w:rsidRPr="000139AC">
        <w:rPr>
          <w:rFonts w:ascii="Times New Roman" w:hAnsi="Times New Roman" w:cs="Times New Roman"/>
        </w:rPr>
        <w:t>2</w:t>
      </w:r>
    </w:p>
    <w:p w14:paraId="2338493B"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Components of Contemporary European Urban Systems – Land Use, Urban Form and Environment</w:t>
      </w:r>
    </w:p>
    <w:p w14:paraId="415E183A"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Read: Beatley (2012), Chapters 2 and 5.</w:t>
      </w:r>
    </w:p>
    <w:p w14:paraId="51D440F6"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Power points, “Spatial Planning in the Netherlands” and “Land Development in Europe”</w:t>
      </w:r>
    </w:p>
    <w:p w14:paraId="56CCF9AE"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Case Study:  Select city by February 18 (send email to instructor)</w:t>
      </w:r>
    </w:p>
    <w:p w14:paraId="7AB7C3FB" w14:textId="77777777" w:rsidR="000139AC" w:rsidRPr="000139AC" w:rsidRDefault="000139AC" w:rsidP="00047ACC">
      <w:pPr>
        <w:rPr>
          <w:rFonts w:ascii="Times New Roman" w:hAnsi="Times New Roman" w:cs="Times New Roman"/>
        </w:rPr>
      </w:pPr>
    </w:p>
    <w:p w14:paraId="7E5176A5" w14:textId="277CAAD8" w:rsidR="000139AC" w:rsidRPr="000139AC" w:rsidRDefault="000139AC" w:rsidP="00047ACC">
      <w:pPr>
        <w:rPr>
          <w:rFonts w:ascii="Times New Roman" w:hAnsi="Times New Roman" w:cs="Times New Roman"/>
        </w:rPr>
      </w:pPr>
      <w:r w:rsidRPr="006D4571">
        <w:rPr>
          <w:rFonts w:ascii="Times New Roman" w:hAnsi="Times New Roman" w:cs="Times New Roman"/>
          <w:b/>
          <w:bCs/>
        </w:rPr>
        <w:t>Mid-term examination</w:t>
      </w:r>
      <w:r w:rsidRPr="000139AC">
        <w:rPr>
          <w:rFonts w:ascii="Times New Roman" w:hAnsi="Times New Roman" w:cs="Times New Roman"/>
        </w:rPr>
        <w:t xml:space="preserve"> distributed – February 23 – Submit by March 1</w:t>
      </w:r>
    </w:p>
    <w:p w14:paraId="109359A9"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7FE36CE0" w14:textId="4960F3FA" w:rsidR="00047ACC" w:rsidRPr="000139AC" w:rsidRDefault="00047ACC" w:rsidP="00047ACC">
      <w:pPr>
        <w:rPr>
          <w:rFonts w:ascii="Times New Roman" w:hAnsi="Times New Roman" w:cs="Times New Roman"/>
        </w:rPr>
      </w:pPr>
      <w:r w:rsidRPr="006D4571">
        <w:rPr>
          <w:rFonts w:ascii="Times New Roman" w:hAnsi="Times New Roman" w:cs="Times New Roman"/>
          <w:b/>
          <w:bCs/>
        </w:rPr>
        <w:t>Module 4</w:t>
      </w:r>
      <w:r w:rsidRPr="000139AC">
        <w:rPr>
          <w:rFonts w:ascii="Times New Roman" w:hAnsi="Times New Roman" w:cs="Times New Roman"/>
        </w:rPr>
        <w:t xml:space="preserve"> March </w:t>
      </w:r>
      <w:r w:rsidR="000139AC" w:rsidRPr="000139AC">
        <w:rPr>
          <w:rFonts w:ascii="Times New Roman" w:hAnsi="Times New Roman" w:cs="Times New Roman"/>
        </w:rPr>
        <w:t xml:space="preserve">2 </w:t>
      </w:r>
      <w:r w:rsidRPr="000139AC">
        <w:rPr>
          <w:rFonts w:ascii="Times New Roman" w:hAnsi="Times New Roman" w:cs="Times New Roman"/>
        </w:rPr>
        <w:t xml:space="preserve"> – 1</w:t>
      </w:r>
      <w:r w:rsidR="000139AC" w:rsidRPr="000139AC">
        <w:rPr>
          <w:rFonts w:ascii="Times New Roman" w:hAnsi="Times New Roman" w:cs="Times New Roman"/>
        </w:rPr>
        <w:t>5</w:t>
      </w:r>
    </w:p>
    <w:p w14:paraId="52D4CE53"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Components of Contemporary European Urban Systems – Transportation</w:t>
      </w:r>
    </w:p>
    <w:p w14:paraId="48FC3738"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Read: Beatley (2012), Chapters 3 and 4, Beatley (2000), Chapter 4, “Transit Cities:  Public Transport Innovations and Priorities” and Chapter 5, “Taming the Auto:  The Promise of Car-Free Cities”</w:t>
      </w:r>
    </w:p>
    <w:p w14:paraId="0EDF3CDC"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Power points, “Urban Transportation in Europe” and “Cars and Bikes in European Cities”</w:t>
      </w:r>
    </w:p>
    <w:p w14:paraId="252E6B69"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“Green Buses for European Cities,” https://www.youtube.com/watch?v=K5pwoDkuWeA</w:t>
      </w:r>
    </w:p>
    <w:p w14:paraId="00DB6A6C"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7C8E6B73" w14:textId="34FD3652" w:rsidR="00047ACC" w:rsidRPr="000139AC" w:rsidRDefault="00047ACC" w:rsidP="00047ACC">
      <w:pPr>
        <w:rPr>
          <w:rFonts w:ascii="Times New Roman" w:hAnsi="Times New Roman" w:cs="Times New Roman"/>
        </w:rPr>
      </w:pPr>
      <w:r w:rsidRPr="006D4571">
        <w:rPr>
          <w:rFonts w:ascii="Times New Roman" w:hAnsi="Times New Roman" w:cs="Times New Roman"/>
          <w:b/>
          <w:bCs/>
        </w:rPr>
        <w:t>Module 5</w:t>
      </w:r>
      <w:r w:rsidRPr="000139AC">
        <w:rPr>
          <w:rFonts w:ascii="Times New Roman" w:hAnsi="Times New Roman" w:cs="Times New Roman"/>
        </w:rPr>
        <w:t xml:space="preserve"> March 1</w:t>
      </w:r>
      <w:r w:rsidR="000139AC" w:rsidRPr="000139AC">
        <w:rPr>
          <w:rFonts w:ascii="Times New Roman" w:hAnsi="Times New Roman" w:cs="Times New Roman"/>
        </w:rPr>
        <w:t>6</w:t>
      </w:r>
      <w:r w:rsidRPr="000139AC">
        <w:rPr>
          <w:rFonts w:ascii="Times New Roman" w:hAnsi="Times New Roman" w:cs="Times New Roman"/>
        </w:rPr>
        <w:t xml:space="preserve"> - </w:t>
      </w:r>
      <w:r w:rsidR="000139AC" w:rsidRPr="000139AC">
        <w:rPr>
          <w:rFonts w:ascii="Times New Roman" w:hAnsi="Times New Roman" w:cs="Times New Roman"/>
        </w:rPr>
        <w:t>29</w:t>
      </w:r>
    </w:p>
    <w:p w14:paraId="7EBD2026"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Components of Contemporary European Urban Systems –Central City</w:t>
      </w:r>
    </w:p>
    <w:p w14:paraId="38874379"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Preservation/Revitalization/Residential Areas</w:t>
      </w:r>
    </w:p>
    <w:p w14:paraId="38344190"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Read: Beatley (2012), Chapter 6; Venice discussion</w:t>
      </w:r>
    </w:p>
    <w:p w14:paraId="47C40B87"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Power point, “City Center in the Sustainable City”</w:t>
      </w:r>
    </w:p>
    <w:p w14:paraId="46FB0831" w14:textId="77777777" w:rsidR="00047ACC" w:rsidRPr="006D4571" w:rsidRDefault="00047ACC" w:rsidP="00047ACC">
      <w:pPr>
        <w:rPr>
          <w:rFonts w:ascii="Times New Roman" w:hAnsi="Times New Roman" w:cs="Times New Roman"/>
          <w:b/>
          <w:bCs/>
        </w:rPr>
      </w:pPr>
      <w:r w:rsidRPr="000139AC">
        <w:rPr>
          <w:rFonts w:ascii="Times New Roman" w:hAnsi="Times New Roman" w:cs="Times New Roman"/>
        </w:rPr>
        <w:t> </w:t>
      </w:r>
    </w:p>
    <w:p w14:paraId="27762AF3" w14:textId="479C0BF7" w:rsidR="00047ACC" w:rsidRPr="000139AC" w:rsidRDefault="00047ACC" w:rsidP="00047ACC">
      <w:pPr>
        <w:rPr>
          <w:rFonts w:ascii="Times New Roman" w:hAnsi="Times New Roman" w:cs="Times New Roman"/>
        </w:rPr>
      </w:pPr>
      <w:r w:rsidRPr="006D4571">
        <w:rPr>
          <w:rFonts w:ascii="Times New Roman" w:hAnsi="Times New Roman" w:cs="Times New Roman"/>
          <w:b/>
          <w:bCs/>
        </w:rPr>
        <w:t>Module 6</w:t>
      </w:r>
      <w:r w:rsidRPr="000139AC">
        <w:rPr>
          <w:rFonts w:ascii="Times New Roman" w:hAnsi="Times New Roman" w:cs="Times New Roman"/>
        </w:rPr>
        <w:t xml:space="preserve"> March 3</w:t>
      </w:r>
      <w:r w:rsidR="000139AC" w:rsidRPr="000139AC">
        <w:rPr>
          <w:rFonts w:ascii="Times New Roman" w:hAnsi="Times New Roman" w:cs="Times New Roman"/>
        </w:rPr>
        <w:t>0</w:t>
      </w:r>
      <w:r w:rsidRPr="000139AC">
        <w:rPr>
          <w:rFonts w:ascii="Times New Roman" w:hAnsi="Times New Roman" w:cs="Times New Roman"/>
        </w:rPr>
        <w:t xml:space="preserve"> - April </w:t>
      </w:r>
      <w:r w:rsidR="000139AC" w:rsidRPr="000139AC">
        <w:rPr>
          <w:rFonts w:ascii="Times New Roman" w:hAnsi="Times New Roman" w:cs="Times New Roman"/>
        </w:rPr>
        <w:t>5</w:t>
      </w:r>
    </w:p>
    <w:p w14:paraId="7B5A7C5F"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Toward the Sustainable City – Ecology Considerations/ Energy Needs and Approaches</w:t>
      </w:r>
    </w:p>
    <w:p w14:paraId="59624F62"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Read: Beatley (2012), Chapter 7; Alexander Garvin, “Greening Cities: A Public Realm Approach,” p. 60‐83, in Birch and Wachter, eds., </w:t>
      </w:r>
      <w:r w:rsidRPr="000139AC">
        <w:rPr>
          <w:rFonts w:ascii="Times New Roman" w:hAnsi="Times New Roman" w:cs="Times New Roman"/>
          <w:i/>
          <w:iCs/>
        </w:rPr>
        <w:t>Growing Greener Cities: Urban Sustainability in the Twenty‐First Century </w:t>
      </w:r>
      <w:r w:rsidRPr="000139AC">
        <w:rPr>
          <w:rFonts w:ascii="Times New Roman" w:hAnsi="Times New Roman" w:cs="Times New Roman"/>
        </w:rPr>
        <w:t>(University of Pennsylvania Press, 2008); Mell, "Cambridgeshire Green Infrastructure Strategy and the London Olympic Park," p. 86-107 “Green Infrastructure Development in Paris (France) and Milan (Italy), p. 108-129 in Mell, </w:t>
      </w:r>
      <w:r w:rsidRPr="000139AC">
        <w:rPr>
          <w:rFonts w:ascii="Times New Roman" w:hAnsi="Times New Roman" w:cs="Times New Roman"/>
          <w:i/>
          <w:iCs/>
        </w:rPr>
        <w:t>Global Green Infrastructure.</w:t>
      </w:r>
    </w:p>
    <w:p w14:paraId="2B8C3AA5"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lastRenderedPageBreak/>
        <w:t>Power point, “Ecological Components in European Cities”</w:t>
      </w:r>
    </w:p>
    <w:p w14:paraId="3DB28FD4"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0D204994" w14:textId="77777777" w:rsidR="006D4571" w:rsidRDefault="006D4571" w:rsidP="00047ACC">
      <w:pPr>
        <w:rPr>
          <w:rFonts w:ascii="Times New Roman" w:hAnsi="Times New Roman" w:cs="Times New Roman"/>
        </w:rPr>
      </w:pPr>
    </w:p>
    <w:p w14:paraId="06448139" w14:textId="74B2DEF5" w:rsidR="00047ACC" w:rsidRPr="000139AC" w:rsidRDefault="00047ACC" w:rsidP="00047ACC">
      <w:pPr>
        <w:rPr>
          <w:rFonts w:ascii="Times New Roman" w:hAnsi="Times New Roman" w:cs="Times New Roman"/>
        </w:rPr>
      </w:pPr>
      <w:r w:rsidRPr="006D4571">
        <w:rPr>
          <w:rFonts w:ascii="Times New Roman" w:hAnsi="Times New Roman" w:cs="Times New Roman"/>
          <w:b/>
          <w:bCs/>
        </w:rPr>
        <w:t>Module 7</w:t>
      </w:r>
      <w:r w:rsidRPr="000139AC">
        <w:rPr>
          <w:rFonts w:ascii="Times New Roman" w:hAnsi="Times New Roman" w:cs="Times New Roman"/>
        </w:rPr>
        <w:t xml:space="preserve"> April </w:t>
      </w:r>
      <w:r w:rsidR="000139AC" w:rsidRPr="000139AC">
        <w:rPr>
          <w:rFonts w:ascii="Times New Roman" w:hAnsi="Times New Roman" w:cs="Times New Roman"/>
        </w:rPr>
        <w:t>6</w:t>
      </w:r>
      <w:r w:rsidRPr="000139AC">
        <w:rPr>
          <w:rFonts w:ascii="Times New Roman" w:hAnsi="Times New Roman" w:cs="Times New Roman"/>
        </w:rPr>
        <w:t xml:space="preserve"> - </w:t>
      </w:r>
      <w:r w:rsidR="000139AC" w:rsidRPr="000139AC">
        <w:rPr>
          <w:rFonts w:ascii="Times New Roman" w:hAnsi="Times New Roman" w:cs="Times New Roman"/>
        </w:rPr>
        <w:t>12</w:t>
      </w:r>
    </w:p>
    <w:p w14:paraId="0D1E2CF2"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Toward the Sustainable City – Green Governance/Economic Development</w:t>
      </w:r>
    </w:p>
    <w:p w14:paraId="59AEED18"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Read: Beatley (2012), Chapter 8</w:t>
      </w:r>
    </w:p>
    <w:p w14:paraId="1C810142" w14:textId="77777777" w:rsidR="00D95DA3" w:rsidRDefault="00047ACC" w:rsidP="00047ACC">
      <w:pPr>
        <w:rPr>
          <w:rFonts w:ascii="Times New Roman" w:hAnsi="Times New Roman" w:cs="Times New Roman"/>
        </w:rPr>
      </w:pPr>
      <w:r w:rsidRPr="000139AC">
        <w:rPr>
          <w:rFonts w:ascii="Times New Roman" w:hAnsi="Times New Roman" w:cs="Times New Roman"/>
        </w:rPr>
        <w:t>Power point, “Economics and Governance for Sustainability in European Cities”</w:t>
      </w:r>
    </w:p>
    <w:p w14:paraId="4663BB93" w14:textId="767909FC"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7B1FCB85" w14:textId="5CE31B4F" w:rsidR="00047ACC" w:rsidRPr="000139AC" w:rsidRDefault="00047ACC" w:rsidP="00047ACC">
      <w:pPr>
        <w:rPr>
          <w:rFonts w:ascii="Times New Roman" w:hAnsi="Times New Roman" w:cs="Times New Roman"/>
        </w:rPr>
      </w:pPr>
      <w:r w:rsidRPr="006D4571">
        <w:rPr>
          <w:rFonts w:ascii="Times New Roman" w:hAnsi="Times New Roman" w:cs="Times New Roman"/>
          <w:b/>
          <w:bCs/>
        </w:rPr>
        <w:t>Module 8</w:t>
      </w:r>
      <w:r w:rsidRPr="000139AC">
        <w:rPr>
          <w:rFonts w:ascii="Times New Roman" w:hAnsi="Times New Roman" w:cs="Times New Roman"/>
        </w:rPr>
        <w:t xml:space="preserve"> April </w:t>
      </w:r>
      <w:r w:rsidR="000139AC" w:rsidRPr="000139AC">
        <w:rPr>
          <w:rFonts w:ascii="Times New Roman" w:hAnsi="Times New Roman" w:cs="Times New Roman"/>
        </w:rPr>
        <w:t>13</w:t>
      </w:r>
      <w:r w:rsidRPr="000139AC">
        <w:rPr>
          <w:rFonts w:ascii="Times New Roman" w:hAnsi="Times New Roman" w:cs="Times New Roman"/>
        </w:rPr>
        <w:t xml:space="preserve"> - </w:t>
      </w:r>
      <w:r w:rsidR="000139AC" w:rsidRPr="000139AC">
        <w:rPr>
          <w:rFonts w:ascii="Times New Roman" w:hAnsi="Times New Roman" w:cs="Times New Roman"/>
        </w:rPr>
        <w:t>19</w:t>
      </w:r>
    </w:p>
    <w:p w14:paraId="0DCF9459"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Green Cities of Europe as Global Models</w:t>
      </w:r>
    </w:p>
    <w:p w14:paraId="6F7AC484"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Read:  Beatley (2012), Chapter 9</w:t>
      </w:r>
    </w:p>
    <w:p w14:paraId="53D1DFE8" w14:textId="5CCEB36A" w:rsidR="00047ACC" w:rsidRPr="000139AC" w:rsidRDefault="00047ACC" w:rsidP="00047ACC">
      <w:pPr>
        <w:rPr>
          <w:rFonts w:ascii="Times New Roman" w:hAnsi="Times New Roman" w:cs="Times New Roman"/>
        </w:rPr>
      </w:pPr>
      <w:r w:rsidRPr="000139AC">
        <w:rPr>
          <w:rFonts w:ascii="Times New Roman" w:hAnsi="Times New Roman" w:cs="Times New Roman"/>
        </w:rPr>
        <w:t>Case Study paper and power point due April 2</w:t>
      </w:r>
      <w:r w:rsidR="000139AC" w:rsidRPr="000139AC">
        <w:rPr>
          <w:rFonts w:ascii="Times New Roman" w:hAnsi="Times New Roman" w:cs="Times New Roman"/>
        </w:rPr>
        <w:t>2</w:t>
      </w:r>
    </w:p>
    <w:p w14:paraId="3587AD1C" w14:textId="2CA68B8B" w:rsidR="00047ACC" w:rsidRPr="000139AC" w:rsidRDefault="00047ACC" w:rsidP="00047ACC">
      <w:pPr>
        <w:rPr>
          <w:rFonts w:ascii="Times New Roman" w:hAnsi="Times New Roman" w:cs="Times New Roman"/>
        </w:rPr>
      </w:pPr>
      <w:r w:rsidRPr="000139AC">
        <w:rPr>
          <w:rFonts w:ascii="Times New Roman" w:hAnsi="Times New Roman" w:cs="Times New Roman"/>
        </w:rPr>
        <w:t xml:space="preserve">Final examination due </w:t>
      </w:r>
      <w:r w:rsidR="000139AC" w:rsidRPr="000139AC">
        <w:rPr>
          <w:rFonts w:ascii="Times New Roman" w:hAnsi="Times New Roman" w:cs="Times New Roman"/>
        </w:rPr>
        <w:t>April 29</w:t>
      </w:r>
    </w:p>
    <w:p w14:paraId="3108DF3E"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 </w:t>
      </w:r>
    </w:p>
    <w:p w14:paraId="3C691FB8"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rPr>
        <w:t>Academic Policies</w:t>
      </w:r>
    </w:p>
    <w:p w14:paraId="27F2B9A6"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i/>
          <w:iCs/>
        </w:rPr>
        <w:t>Course Evaluation - </w:t>
      </w:r>
      <w:r w:rsidRPr="000139AC">
        <w:rPr>
          <w:rFonts w:ascii="Times New Roman" w:hAnsi="Times New Roman" w:cs="Times New Roman"/>
        </w:rPr>
        <w:t>Students in this class are participating in the pilot evaluation of the new course evaluation system called GatorEvals. The new evaluation system is designed to be more informative to instructors so that teaching effectiveness is enhanced and to be more seamlessly linked to UF’s CANVAS learning management system. Students can complete their evaluations through the email they receive from GatorEvals, in their Canvas course menu under GatorEvals, or via </w:t>
      </w:r>
      <w:hyperlink r:id="rId9" w:tgtFrame="_blank" w:history="1">
        <w:r w:rsidRPr="000139AC">
          <w:rPr>
            <w:rStyle w:val="Hyperlink"/>
            <w:rFonts w:ascii="Times New Roman" w:hAnsi="Times New Roman" w:cs="Times New Roman"/>
          </w:rPr>
          <w:t>https://ufl.bluera.com/ufl/Links to an external site.</w:t>
        </w:r>
      </w:hyperlink>
      <w:r w:rsidRPr="000139AC">
        <w:rPr>
          <w:rFonts w:ascii="Times New Roman" w:hAnsi="Times New Roman" w:cs="Times New Roman"/>
        </w:rPr>
        <w:t> . Please note your other classes this semester may be evaluated in the current GatorRater online evaluation system at </w:t>
      </w:r>
      <w:hyperlink r:id="rId10" w:tgtFrame="_blank" w:history="1">
        <w:r w:rsidRPr="000139AC">
          <w:rPr>
            <w:rStyle w:val="Hyperlink"/>
            <w:rFonts w:ascii="Times New Roman" w:hAnsi="Times New Roman" w:cs="Times New Roman"/>
          </w:rPr>
          <w:t>https://evaluations.ufl.eduLinks to an external site.</w:t>
        </w:r>
      </w:hyperlink>
      <w:r w:rsidRPr="000139AC">
        <w:rPr>
          <w:rFonts w:ascii="Times New Roman" w:hAnsi="Times New Roman" w:cs="Times New Roman"/>
        </w:rPr>
        <w:t> . Thank you for serving as a partner in this important effort.  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1" w:tgtFrame="_blank" w:history="1">
        <w:r w:rsidRPr="000139AC">
          <w:rPr>
            <w:rStyle w:val="Hyperlink"/>
            <w:rFonts w:ascii="Times New Roman" w:hAnsi="Times New Roman" w:cs="Times New Roman"/>
          </w:rPr>
          <w:t>https://gatorevals.aa.ufl.edu/students/Links to an external site.</w:t>
        </w:r>
      </w:hyperlink>
      <w:r w:rsidRPr="000139AC">
        <w:rPr>
          <w:rFonts w:ascii="Times New Roman" w:hAnsi="Times New Roman" w:cs="Times New Roman"/>
        </w:rPr>
        <w:t>. Students will be notified when the evaluation period opens, and can complete evaluations through the email they receive from GatorEvals, in their Canvas course menu under GatorEvals, or via </w:t>
      </w:r>
      <w:hyperlink r:id="rId12" w:tgtFrame="_blank" w:history="1">
        <w:r w:rsidRPr="000139AC">
          <w:rPr>
            <w:rStyle w:val="Hyperlink"/>
            <w:rFonts w:ascii="Times New Roman" w:hAnsi="Times New Roman" w:cs="Times New Roman"/>
          </w:rPr>
          <w:t>https://ufl.bluera.com/ufl/Links to an external site.</w:t>
        </w:r>
      </w:hyperlink>
      <w:r w:rsidRPr="000139AC">
        <w:rPr>
          <w:rFonts w:ascii="Times New Roman" w:hAnsi="Times New Roman" w:cs="Times New Roman"/>
        </w:rPr>
        <w:t>. Summaries of course evaluation results are available to students at </w:t>
      </w:r>
      <w:hyperlink r:id="rId13" w:tgtFrame="_blank" w:history="1">
        <w:r w:rsidRPr="000139AC">
          <w:rPr>
            <w:rStyle w:val="Hyperlink"/>
            <w:rFonts w:ascii="Times New Roman" w:hAnsi="Times New Roman" w:cs="Times New Roman"/>
          </w:rPr>
          <w:t>https://gatorevals.aa.ufl.edu/public-results/Links to an external site.</w:t>
        </w:r>
      </w:hyperlink>
      <w:r w:rsidRPr="000139AC">
        <w:rPr>
          <w:rFonts w:ascii="Times New Roman" w:hAnsi="Times New Roman" w:cs="Times New Roman"/>
        </w:rPr>
        <w:t>.</w:t>
      </w:r>
    </w:p>
    <w:p w14:paraId="25C8ED0C"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i/>
          <w:iCs/>
        </w:rPr>
        <w:t>Student Honor Code - </w:t>
      </w:r>
      <w:r w:rsidRPr="000139AC">
        <w:rPr>
          <w:rFonts w:ascii="Times New Roman" w:hAnsi="Times New Roman" w:cs="Times New Roman"/>
        </w:rPr>
        <w:t>Preamble: In adopting this Honor Code, the students of the University of Florida recognize that academic honesty and integrity are fundamental values of the University community. Students who enroll at the University commit to holding themselves and their peers to the high standard of honor required by the Honor Code. Any individual who becomes aware of a violation of the Honor Code is bound by honor to take corrective action. Student and faculty support are crucial to the success of the Honor Code. The quality of a University of Florida education is dependent upon the community acceptance and enforcement of the Honor Code.</w:t>
      </w:r>
    </w:p>
    <w:p w14:paraId="283AB3BC" w14:textId="77777777" w:rsidR="00047ACC" w:rsidRPr="000139AC" w:rsidRDefault="00047ACC" w:rsidP="00047ACC">
      <w:pPr>
        <w:rPr>
          <w:rFonts w:ascii="Times New Roman" w:hAnsi="Times New Roman" w:cs="Times New Roman"/>
        </w:rPr>
      </w:pPr>
      <w:r w:rsidRPr="000139AC">
        <w:rPr>
          <w:rFonts w:ascii="Times New Roman" w:hAnsi="Times New Roman" w:cs="Times New Roman"/>
          <w:b/>
          <w:bCs/>
          <w:i/>
          <w:iCs/>
        </w:rPr>
        <w:lastRenderedPageBreak/>
        <w:t>The Honor Pledge</w:t>
      </w:r>
      <w:r w:rsidRPr="000139AC">
        <w:rPr>
          <w:rFonts w:ascii="Times New Roman" w:hAnsi="Times New Roman" w:cs="Times New Roman"/>
          <w:b/>
          <w:bCs/>
        </w:rPr>
        <w:t> - </w:t>
      </w:r>
      <w:r w:rsidRPr="000139AC">
        <w:rPr>
          <w:rFonts w:ascii="Times New Roman" w:hAnsi="Times New Roman" w:cs="Times New Roman"/>
        </w:rPr>
        <w:t>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w:t>
      </w:r>
    </w:p>
    <w:p w14:paraId="6F0E0CFC"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(a) Plagiarism. A student shall not represent as the student's own work all or any portion of the work of another. Plagiarism includes but is not limited to: 1. Quoting oral or written materials including but not limited to those found on the internet, whether published or unpublished, without proper attribution. 2. Submitting a document or assignment which in whole or in part is identical or substantially identical to a document or assignment not authored by the student.</w:t>
      </w:r>
    </w:p>
    <w:p w14:paraId="091509A6"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(b) Unauthorized Use of Materials or Resources ("Cheating"). A student shall not use unauthorized materials or resources in an academic activity. Unauthorized materials or resources shall include:1. Any paper or project authored by the student and presented by the student for the satisfaction of any academic requirement if the student previously submitted substantially the same paper or project to satisfy an academic requirement and did not receive express authorization to resubmit the paper or project. 2. Any materials or resources prepared by another student and used without the other student's express consent or without proper attribution to the other student.3. Any materials or resources which the faculty member has notified the student or the class are prohibited.4. Use of a cheat sheet when not authorized to do so or use of any other resources or materials during an examination, quiz, or other academic activity without the express permission of the faculty member, whether access to such resource or materials is through a cell phone, PDA, other electronic device, or any other means.</w:t>
      </w:r>
    </w:p>
    <w:p w14:paraId="071FE094" w14:textId="77777777" w:rsidR="00047ACC" w:rsidRPr="000139AC" w:rsidRDefault="00047ACC" w:rsidP="00047ACC">
      <w:pPr>
        <w:rPr>
          <w:rFonts w:ascii="Times New Roman" w:hAnsi="Times New Roman" w:cs="Times New Roman"/>
        </w:rPr>
      </w:pPr>
      <w:r w:rsidRPr="000139AC">
        <w:rPr>
          <w:rFonts w:ascii="Times New Roman" w:hAnsi="Times New Roman" w:cs="Times New Roman"/>
        </w:rPr>
        <w:t>(c) Prohibited Collaboration or Consultation. A student shall not collaborate or consult with another person on any academic activity unless the student has the express authorization from the faculty member. 1. Prohibited collaboration or consultation shall include but is not limited to: a. Collaborating when not authorized to do so on an examination, take-home test, writing project, assignment, or course work. b. Collaborating or consulting in any other academic or co-curricular activity after receiving notice that such conduct is prohibited. c. Looking at another student's examination or quiz during the time an examination or quiz is given. Communication by any means during that time, including but not limited to communication through text messaging, telephone, email, other writing or verbally, is prohibited unless expressly authorized. It is the responsibility of the student to seek clarification on whether or not use of materials or collaboration or consultation with another person is authorized prior to engaging in any act of such use, collaboration or consultation. If a faculty member has authorized a student to use materials or to collaborate or consult with another person in limited circumstances, the student shall not exceed that authority. If the student wishes to use any materials or collaborate or consult with another person in circumstances to which the authority does not plainly extend, the student shall first ascertain with the faculty member whether the use of materials, collaboration or consultation is authorized.</w:t>
      </w:r>
    </w:p>
    <w:p w14:paraId="12CCDE1C" w14:textId="77777777" w:rsidR="00FC04D9" w:rsidRDefault="00FC04D9"/>
    <w:sectPr w:rsidR="00FC0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BC7"/>
    <w:multiLevelType w:val="multilevel"/>
    <w:tmpl w:val="7DEA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C7A7C"/>
    <w:multiLevelType w:val="multilevel"/>
    <w:tmpl w:val="6DBE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342773">
    <w:abstractNumId w:val="1"/>
  </w:num>
  <w:num w:numId="2" w16cid:durableId="28878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CC"/>
    <w:rsid w:val="000139AC"/>
    <w:rsid w:val="00047ACC"/>
    <w:rsid w:val="001D23E8"/>
    <w:rsid w:val="003C1803"/>
    <w:rsid w:val="006136AA"/>
    <w:rsid w:val="006D4571"/>
    <w:rsid w:val="008611F4"/>
    <w:rsid w:val="008C6026"/>
    <w:rsid w:val="009A3809"/>
    <w:rsid w:val="009D6E13"/>
    <w:rsid w:val="00A0162D"/>
    <w:rsid w:val="00A80593"/>
    <w:rsid w:val="00B61C7F"/>
    <w:rsid w:val="00BE3EA6"/>
    <w:rsid w:val="00C27634"/>
    <w:rsid w:val="00CF0553"/>
    <w:rsid w:val="00D30484"/>
    <w:rsid w:val="00D45AA7"/>
    <w:rsid w:val="00D95DA3"/>
    <w:rsid w:val="00E725FC"/>
    <w:rsid w:val="00F60C7C"/>
    <w:rsid w:val="00FC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13EA"/>
  <w15:chartTrackingRefBased/>
  <w15:docId w15:val="{4C8F0BB4-00F4-4BB7-BD2B-2A3003B1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ACC"/>
    <w:rPr>
      <w:rFonts w:eastAsiaTheme="majorEastAsia" w:cstheme="majorBidi"/>
      <w:color w:val="272727" w:themeColor="text1" w:themeTint="D8"/>
    </w:rPr>
  </w:style>
  <w:style w:type="paragraph" w:styleId="Title">
    <w:name w:val="Title"/>
    <w:basedOn w:val="Normal"/>
    <w:next w:val="Normal"/>
    <w:link w:val="TitleChar"/>
    <w:uiPriority w:val="10"/>
    <w:qFormat/>
    <w:rsid w:val="00047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ACC"/>
    <w:pPr>
      <w:spacing w:before="160"/>
      <w:jc w:val="center"/>
    </w:pPr>
    <w:rPr>
      <w:i/>
      <w:iCs/>
      <w:color w:val="404040" w:themeColor="text1" w:themeTint="BF"/>
    </w:rPr>
  </w:style>
  <w:style w:type="character" w:customStyle="1" w:styleId="QuoteChar">
    <w:name w:val="Quote Char"/>
    <w:basedOn w:val="DefaultParagraphFont"/>
    <w:link w:val="Quote"/>
    <w:uiPriority w:val="29"/>
    <w:rsid w:val="00047ACC"/>
    <w:rPr>
      <w:i/>
      <w:iCs/>
      <w:color w:val="404040" w:themeColor="text1" w:themeTint="BF"/>
    </w:rPr>
  </w:style>
  <w:style w:type="paragraph" w:styleId="ListParagraph">
    <w:name w:val="List Paragraph"/>
    <w:basedOn w:val="Normal"/>
    <w:uiPriority w:val="34"/>
    <w:qFormat/>
    <w:rsid w:val="00047ACC"/>
    <w:pPr>
      <w:ind w:left="720"/>
      <w:contextualSpacing/>
    </w:pPr>
  </w:style>
  <w:style w:type="character" w:styleId="IntenseEmphasis">
    <w:name w:val="Intense Emphasis"/>
    <w:basedOn w:val="DefaultParagraphFont"/>
    <w:uiPriority w:val="21"/>
    <w:qFormat/>
    <w:rsid w:val="00047ACC"/>
    <w:rPr>
      <w:i/>
      <w:iCs/>
      <w:color w:val="0F4761" w:themeColor="accent1" w:themeShade="BF"/>
    </w:rPr>
  </w:style>
  <w:style w:type="paragraph" w:styleId="IntenseQuote">
    <w:name w:val="Intense Quote"/>
    <w:basedOn w:val="Normal"/>
    <w:next w:val="Normal"/>
    <w:link w:val="IntenseQuoteChar"/>
    <w:uiPriority w:val="30"/>
    <w:qFormat/>
    <w:rsid w:val="0004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ACC"/>
    <w:rPr>
      <w:i/>
      <w:iCs/>
      <w:color w:val="0F4761" w:themeColor="accent1" w:themeShade="BF"/>
    </w:rPr>
  </w:style>
  <w:style w:type="character" w:styleId="IntenseReference">
    <w:name w:val="Intense Reference"/>
    <w:basedOn w:val="DefaultParagraphFont"/>
    <w:uiPriority w:val="32"/>
    <w:qFormat/>
    <w:rsid w:val="00047ACC"/>
    <w:rPr>
      <w:b/>
      <w:bCs/>
      <w:smallCaps/>
      <w:color w:val="0F4761" w:themeColor="accent1" w:themeShade="BF"/>
      <w:spacing w:val="5"/>
    </w:rPr>
  </w:style>
  <w:style w:type="character" w:styleId="Hyperlink">
    <w:name w:val="Hyperlink"/>
    <w:basedOn w:val="DefaultParagraphFont"/>
    <w:uiPriority w:val="99"/>
    <w:unhideWhenUsed/>
    <w:rsid w:val="00047ACC"/>
    <w:rPr>
      <w:color w:val="467886" w:themeColor="hyperlink"/>
      <w:u w:val="single"/>
    </w:rPr>
  </w:style>
  <w:style w:type="character" w:styleId="UnresolvedMention">
    <w:name w:val="Unresolved Mention"/>
    <w:basedOn w:val="DefaultParagraphFont"/>
    <w:uiPriority w:val="99"/>
    <w:semiHidden/>
    <w:unhideWhenUsed/>
    <w:rsid w:val="0004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692">
      <w:bodyDiv w:val="1"/>
      <w:marLeft w:val="0"/>
      <w:marRight w:val="0"/>
      <w:marTop w:val="0"/>
      <w:marBottom w:val="0"/>
      <w:divBdr>
        <w:top w:val="none" w:sz="0" w:space="0" w:color="auto"/>
        <w:left w:val="none" w:sz="0" w:space="0" w:color="auto"/>
        <w:bottom w:val="none" w:sz="0" w:space="0" w:color="auto"/>
        <w:right w:val="none" w:sz="0" w:space="0" w:color="auto"/>
      </w:divBdr>
    </w:div>
    <w:div w:id="64169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ainabledevelopment.report/reports/europe-sustainable-development-report-2022" TargetMode="External"/><Relationship Id="rId13" Type="http://schemas.openxmlformats.org/officeDocument/2006/relationships/hyperlink" Target="https://gatorevals.aa.ufl.edu/public-results/" TargetMode="External"/><Relationship Id="rId3" Type="http://schemas.openxmlformats.org/officeDocument/2006/relationships/styles" Target="styles.xml"/><Relationship Id="rId7" Type="http://schemas.openxmlformats.org/officeDocument/2006/relationships/hyperlink" Target="https://www.amazon.com/Green-Cities-Europe-Lessons-Urbanism/dp/1597269751" TargetMode="External"/><Relationship Id="rId12"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ver2@ufl.edu" TargetMode="External"/><Relationship Id="rId11" Type="http://schemas.openxmlformats.org/officeDocument/2006/relationships/hyperlink" Target="https://gatorevals.aa.ufl.edu/stud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valuations.ufl.edu/" TargetMode="External"/><Relationship Id="rId4" Type="http://schemas.openxmlformats.org/officeDocument/2006/relationships/settings" Target="settings.xml"/><Relationship Id="rId9" Type="http://schemas.openxmlformats.org/officeDocument/2006/relationships/hyperlink" Target="https://ufl.bluera.com/uf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8BE6-9DDD-4CAF-8C11-B8C676D5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2518</Words>
  <Characters>14356</Characters>
  <Application>Microsoft Office Word</Application>
  <DocSecurity>4</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Silver,Christopher</dc:creator>
  <cp:keywords/>
  <dc:description/>
  <cp:lastModifiedBy>Silver,Christopher</cp:lastModifiedBy>
  <cp:revision>2</cp:revision>
  <dcterms:created xsi:type="dcterms:W3CDTF">2025-12-16T21:08:00Z</dcterms:created>
  <dcterms:modified xsi:type="dcterms:W3CDTF">2025-12-16T21:08:00Z</dcterms:modified>
</cp:coreProperties>
</file>