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3D7BF528" w:rsidR="000F185C" w:rsidRDefault="000F185C" w:rsidP="000F185C">
      <w:pPr>
        <w:spacing w:after="0" w:line="240" w:lineRule="auto"/>
        <w:jc w:val="center"/>
        <w:rPr>
          <w:b/>
        </w:rPr>
      </w:pPr>
      <w:r>
        <w:rPr>
          <w:b/>
        </w:rPr>
        <w:t>DCP 79</w:t>
      </w:r>
      <w:r w:rsidR="00322D20">
        <w:rPr>
          <w:b/>
        </w:rPr>
        <w:t>40</w:t>
      </w:r>
      <w:r w:rsidRPr="000F185C">
        <w:rPr>
          <w:b/>
        </w:rPr>
        <w:t xml:space="preserve">: </w:t>
      </w:r>
      <w:r w:rsidR="00322D20">
        <w:rPr>
          <w:b/>
        </w:rPr>
        <w:t>Supervised Teaching</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1978EB57" w:rsidR="000F185C" w:rsidRPr="000F185C" w:rsidRDefault="00322D20" w:rsidP="000F185C">
      <w:pPr>
        <w:spacing w:after="0" w:line="240" w:lineRule="auto"/>
      </w:pPr>
      <w:r>
        <w:t>Provides</w:t>
      </w:r>
      <w:r w:rsidR="000F185C" w:rsidRPr="000F185C">
        <w:t xml:space="preserve"> </w:t>
      </w:r>
      <w:r>
        <w:t xml:space="preserve">graduate </w:t>
      </w:r>
      <w:r w:rsidR="000F185C">
        <w:t>students</w:t>
      </w:r>
      <w:r>
        <w:t xml:space="preserve"> with experience in developing effective instructional methods and materials for teaching in design, construction, and planning disciplines</w:t>
      </w:r>
      <w:r w:rsidR="000F185C" w:rsidRPr="000F185C">
        <w:t>. Involves</w:t>
      </w:r>
      <w:r w:rsidR="000F185C">
        <w:t xml:space="preserve"> an</w:t>
      </w:r>
      <w:r w:rsidR="000F185C" w:rsidRPr="000F185C">
        <w:t xml:space="preserve"> individual contract with supervising faculty </w:t>
      </w:r>
      <w:proofErr w:type="gramStart"/>
      <w:r w:rsidR="000F185C" w:rsidRPr="000F185C">
        <w:t>member</w:t>
      </w:r>
      <w:proofErr w:type="gramEnd"/>
      <w:r w:rsidR="000F185C">
        <w:t>,</w:t>
      </w:r>
      <w:r w:rsidR="000F185C" w:rsidRPr="000F185C">
        <w:t xml:space="preserve"> including </w:t>
      </w:r>
      <w:r w:rsidR="000F185C">
        <w:t xml:space="preserve">defining objectives, </w:t>
      </w:r>
      <w:r w:rsidR="000F185C" w:rsidRPr="000F185C">
        <w:t xml:space="preserve">meeting </w:t>
      </w:r>
      <w:r w:rsidR="000F185C">
        <w:t xml:space="preserve">times, </w:t>
      </w:r>
      <w:r w:rsidR="000F185C" w:rsidRPr="000F185C">
        <w:t xml:space="preserve">and </w:t>
      </w:r>
      <w:r w:rsidR="000F185C">
        <w:t>deliverable</w:t>
      </w:r>
      <w:r w:rsidR="000F185C" w:rsidRPr="000F185C">
        <w:t xml:space="preserve"> schedules.</w:t>
      </w:r>
      <w:r w:rsidR="000F185C">
        <w:t xml:space="preserve"> </w:t>
      </w:r>
      <w:r w:rsidR="000F185C" w:rsidRPr="000F185C">
        <w:t xml:space="preserve">Contact your advisor to determine the </w:t>
      </w:r>
      <w:proofErr w:type="gramStart"/>
      <w:r w:rsidR="000F185C" w:rsidRPr="000F185C">
        <w:t>amount</w:t>
      </w:r>
      <w:proofErr w:type="gramEnd"/>
      <w:r w:rsidR="000F185C" w:rsidRPr="000F185C">
        <w:t xml:space="preserve"> of </w:t>
      </w:r>
      <w:r w:rsidR="000F185C">
        <w:t xml:space="preserve">credit </w:t>
      </w:r>
      <w:r w:rsidR="000F185C" w:rsidRPr="000F185C">
        <w:t>hours</w:t>
      </w:r>
      <w:r w:rsidR="000F185C">
        <w:t xml:space="preserve"> to be taken</w:t>
      </w:r>
      <w:r w:rsidR="000F185C"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email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 xml:space="preserve">accommodation letter with their instructor and discuss their access </w:t>
      </w:r>
      <w:proofErr w:type="gramStart"/>
      <w:r w:rsidRPr="000F185C">
        <w:t>needs,</w:t>
      </w:r>
      <w:proofErr w:type="gramEnd"/>
      <w:r w:rsidRPr="000F185C">
        <w:t xml:space="preserve">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60D4E899" w14:textId="77777777" w:rsidR="00625760" w:rsidRPr="00625760" w:rsidRDefault="00625760" w:rsidP="00625760">
      <w:pPr>
        <w:spacing w:after="0" w:line="240" w:lineRule="auto"/>
        <w:rPr>
          <w:b/>
          <w:i/>
        </w:rPr>
      </w:pPr>
      <w:r w:rsidRPr="00625760">
        <w:rPr>
          <w:b/>
          <w:i/>
        </w:rPr>
        <w:t>Accessing University Academic Policies and Campus Resources</w:t>
      </w:r>
    </w:p>
    <w:p w14:paraId="15BE7205" w14:textId="2D379C2D" w:rsidR="002601A7" w:rsidRPr="00625760" w:rsidRDefault="00625760" w:rsidP="00625760">
      <w:pPr>
        <w:spacing w:after="0" w:line="240" w:lineRule="auto"/>
        <w:rPr>
          <w:bCs/>
          <w:iCs/>
        </w:rPr>
      </w:pPr>
      <w:r w:rsidRPr="00625760">
        <w:rPr>
          <w:bCs/>
          <w:iCs/>
        </w:rPr>
        <w:t>To support consistent and accessible communication of university-wide student resources, please use this</w:t>
      </w:r>
      <w:r w:rsidRPr="00625760">
        <w:rPr>
          <w:bCs/>
          <w:iCs/>
        </w:rPr>
        <w:t xml:space="preserve"> </w:t>
      </w:r>
      <w:r w:rsidRPr="00625760">
        <w:rPr>
          <w:bCs/>
          <w:iCs/>
        </w:rPr>
        <w:t>link to academic policies and campus resources:</w:t>
      </w:r>
      <w:r w:rsidRPr="00625760">
        <w:rPr>
          <w:bCs/>
          <w:iCs/>
        </w:rPr>
        <w:t xml:space="preserve"> </w:t>
      </w:r>
      <w:hyperlink r:id="rId11" w:history="1">
        <w:r w:rsidRPr="00625760">
          <w:rPr>
            <w:rStyle w:val="Hyperlink"/>
            <w:bCs/>
            <w:iCs/>
          </w:rPr>
          <w:t>https://go.ufl.edu/syllabuspolicies</w:t>
        </w:r>
      </w:hyperlink>
      <w:r w:rsidRPr="00625760">
        <w:rPr>
          <w:bCs/>
          <w:iCs/>
        </w:rPr>
        <w:t xml:space="preserve"> </w:t>
      </w:r>
    </w:p>
    <w:sectPr w:rsidR="002601A7" w:rsidRPr="00625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431E25"/>
    <w:rsid w:val="005736F7"/>
    <w:rsid w:val="00625760"/>
    <w:rsid w:val="009B2B50"/>
    <w:rsid w:val="00A80688"/>
    <w:rsid w:val="00BF3FD3"/>
    <w:rsid w:val="00F3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fl.bluera.com/uf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go.ufl.edu/syllabuspolicies" TargetMode="External"/><Relationship Id="rId5" Type="http://schemas.openxmlformats.org/officeDocument/2006/relationships/hyperlink" Target="https://catalog.ufl.edu/ugrad/current/regulations/info/grades.aspx" TargetMode="External"/><Relationship Id="rId10" Type="http://schemas.openxmlformats.org/officeDocument/2006/relationships/hyperlink" Target="http://registrar.ufl.edu/catalog0910/policies/regulationferpa.html"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2</cp:revision>
  <dcterms:created xsi:type="dcterms:W3CDTF">2025-08-15T13:18:00Z</dcterms:created>
  <dcterms:modified xsi:type="dcterms:W3CDTF">2025-08-15T13:18:00Z</dcterms:modified>
</cp:coreProperties>
</file>