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F47A" w14:textId="77777777" w:rsidR="00265724" w:rsidRPr="00EF0CD4" w:rsidRDefault="00265724" w:rsidP="00550F37">
      <w:pPr>
        <w:spacing w:line="240" w:lineRule="exact"/>
        <w:ind w:left="101"/>
        <w:jc w:val="center"/>
        <w:rPr>
          <w:b/>
        </w:rPr>
      </w:pPr>
      <w:r w:rsidRPr="00EF0CD4">
        <w:rPr>
          <w:b/>
        </w:rPr>
        <w:t>University of Florida</w:t>
      </w:r>
    </w:p>
    <w:p w14:paraId="591F8E56" w14:textId="77777777" w:rsidR="00265724" w:rsidRPr="00EF0CD4" w:rsidRDefault="00265724" w:rsidP="00550F37">
      <w:pPr>
        <w:spacing w:line="240" w:lineRule="exact"/>
        <w:jc w:val="center"/>
        <w:rPr>
          <w:b/>
        </w:rPr>
      </w:pPr>
      <w:r w:rsidRPr="00EF0CD4">
        <w:rPr>
          <w:b/>
        </w:rPr>
        <w:t>M.E. RINKER, Sr. SCHOOL OF CONSTRUCTION MANAGEMENT</w:t>
      </w:r>
    </w:p>
    <w:p w14:paraId="2AA464EA" w14:textId="0A68BA4D" w:rsidR="00265724" w:rsidRPr="00967E33" w:rsidRDefault="00265724" w:rsidP="00550F37">
      <w:pPr>
        <w:pStyle w:val="Title"/>
        <w:spacing w:line="240" w:lineRule="exact"/>
        <w:rPr>
          <w:sz w:val="22"/>
          <w:szCs w:val="22"/>
          <w:u w:val="single"/>
        </w:rPr>
      </w:pPr>
      <w:r w:rsidRPr="00967E33">
        <w:rPr>
          <w:sz w:val="22"/>
          <w:szCs w:val="22"/>
          <w:u w:val="single"/>
        </w:rPr>
        <w:t xml:space="preserve">BCN </w:t>
      </w:r>
      <w:r w:rsidR="005C5B26" w:rsidRPr="00967E33">
        <w:rPr>
          <w:sz w:val="22"/>
          <w:szCs w:val="22"/>
          <w:u w:val="single"/>
        </w:rPr>
        <w:t>5737</w:t>
      </w:r>
      <w:r w:rsidRPr="00967E33">
        <w:rPr>
          <w:sz w:val="22"/>
          <w:szCs w:val="22"/>
          <w:u w:val="single"/>
        </w:rPr>
        <w:t xml:space="preserve"> </w:t>
      </w:r>
      <w:r w:rsidR="005C5B26" w:rsidRPr="00967E33">
        <w:rPr>
          <w:sz w:val="22"/>
          <w:szCs w:val="22"/>
          <w:u w:val="single"/>
        </w:rPr>
        <w:t xml:space="preserve"> ADVANCED ISSUES IN CONSTRUCTION SAFETY AND HEALTH</w:t>
      </w:r>
    </w:p>
    <w:p w14:paraId="7FC03F85" w14:textId="61613CE0" w:rsidR="00265724" w:rsidRDefault="005C5B26" w:rsidP="00550F37">
      <w:pPr>
        <w:tabs>
          <w:tab w:val="left" w:pos="1160"/>
        </w:tabs>
        <w:spacing w:line="240" w:lineRule="exact"/>
        <w:ind w:left="99"/>
        <w:jc w:val="center"/>
      </w:pPr>
      <w:r>
        <w:t>SPRING</w:t>
      </w:r>
      <w:r w:rsidR="00265724" w:rsidRPr="00EF0CD4">
        <w:t xml:space="preserve"> 202</w:t>
      </w:r>
      <w:r w:rsidR="00083B4E">
        <w:t>5</w:t>
      </w:r>
      <w:r w:rsidR="00265724" w:rsidRPr="00EF0CD4">
        <w:tab/>
        <w:t>|   Syllabus</w:t>
      </w:r>
    </w:p>
    <w:p w14:paraId="7DE618B9" w14:textId="77777777" w:rsidR="00265724" w:rsidRPr="00EF0CD4" w:rsidRDefault="00265724" w:rsidP="00550F37">
      <w:pPr>
        <w:tabs>
          <w:tab w:val="left" w:pos="1160"/>
        </w:tabs>
        <w:spacing w:before="120" w:after="120" w:line="240" w:lineRule="exact"/>
        <w:ind w:left="99"/>
        <w:jc w:val="both"/>
      </w:pPr>
    </w:p>
    <w:p w14:paraId="5949E2CC" w14:textId="774DC926" w:rsidR="00967E33" w:rsidRPr="00967E33" w:rsidRDefault="00265724" w:rsidP="00550F37">
      <w:pPr>
        <w:spacing w:before="120" w:after="120" w:line="240" w:lineRule="exact"/>
        <w:jc w:val="both"/>
      </w:pPr>
      <w:r w:rsidRPr="00265724">
        <w:rPr>
          <w:b/>
          <w:bCs/>
        </w:rPr>
        <w:t>HONOR CODE:</w:t>
      </w:r>
      <w:r w:rsidR="00215959">
        <w:rPr>
          <w:b/>
          <w:bCs/>
        </w:rPr>
        <w:t xml:space="preserve"> </w:t>
      </w:r>
      <w:r>
        <w:t>Students are expected to comply with the spirit and intent of the University of</w:t>
      </w:r>
      <w:r w:rsidR="00967E33">
        <w:t xml:space="preserve"> </w:t>
      </w:r>
      <w:r>
        <w:t>Florida Honor Code, which states, “</w:t>
      </w:r>
      <w:r w:rsidRPr="00265724">
        <w:rPr>
          <w:i/>
          <w:iCs/>
        </w:rPr>
        <w:t>We, the members of the University of Florida community, pledge to hold ourselves and our peers to the highest standards of honesty and integrity.”</w:t>
      </w:r>
    </w:p>
    <w:p w14:paraId="626DC418" w14:textId="77777777" w:rsidR="00F15795" w:rsidRDefault="00F15795" w:rsidP="00550F37">
      <w:pPr>
        <w:tabs>
          <w:tab w:val="left" w:pos="1648"/>
        </w:tabs>
        <w:spacing w:line="240" w:lineRule="exact"/>
        <w:jc w:val="both"/>
        <w:rPr>
          <w:b/>
        </w:rPr>
      </w:pPr>
    </w:p>
    <w:p w14:paraId="67B4F179" w14:textId="7414F0FB" w:rsidR="00265724" w:rsidRPr="00EF0CD4" w:rsidRDefault="00265724" w:rsidP="00550F37">
      <w:pPr>
        <w:tabs>
          <w:tab w:val="left" w:pos="1648"/>
        </w:tabs>
        <w:spacing w:line="240" w:lineRule="exact"/>
        <w:jc w:val="both"/>
      </w:pPr>
      <w:r w:rsidRPr="00EF0CD4">
        <w:rPr>
          <w:b/>
        </w:rPr>
        <w:t>Instructor:</w:t>
      </w:r>
      <w:r w:rsidRPr="00EF0CD4">
        <w:rPr>
          <w:b/>
        </w:rPr>
        <w:tab/>
      </w:r>
      <w:r w:rsidRPr="00EF0CD4">
        <w:t>Idris Jeelani,</w:t>
      </w:r>
      <w:r w:rsidRPr="00EF0CD4">
        <w:rPr>
          <w:spacing w:val="-1"/>
        </w:rPr>
        <w:t xml:space="preserve"> </w:t>
      </w:r>
      <w:r w:rsidRPr="00EF0CD4">
        <w:t>PhD</w:t>
      </w:r>
    </w:p>
    <w:p w14:paraId="23A0A7D2" w14:textId="2BF59A2E" w:rsidR="00265724" w:rsidRPr="00EF0CD4" w:rsidRDefault="00265724" w:rsidP="00550F37">
      <w:pPr>
        <w:tabs>
          <w:tab w:val="left" w:pos="1648"/>
        </w:tabs>
        <w:spacing w:line="240" w:lineRule="exact"/>
        <w:jc w:val="both"/>
      </w:pPr>
      <w:r w:rsidRPr="00EF0CD4">
        <w:rPr>
          <w:b/>
        </w:rPr>
        <w:t>Office:</w:t>
      </w:r>
      <w:r w:rsidRPr="00EF0CD4">
        <w:rPr>
          <w:b/>
        </w:rPr>
        <w:tab/>
      </w:r>
      <w:r w:rsidRPr="00EF0CD4">
        <w:rPr>
          <w:bCs/>
        </w:rPr>
        <w:t xml:space="preserve">Rinker </w:t>
      </w:r>
      <w:r w:rsidR="005C5B26">
        <w:rPr>
          <w:bCs/>
        </w:rPr>
        <w:t>317</w:t>
      </w:r>
    </w:p>
    <w:p w14:paraId="6552D63D" w14:textId="77777777" w:rsidR="00265724" w:rsidRPr="00EF0CD4" w:rsidRDefault="00265724" w:rsidP="00550F37">
      <w:pPr>
        <w:tabs>
          <w:tab w:val="left" w:pos="1648"/>
        </w:tabs>
        <w:spacing w:line="240" w:lineRule="exact"/>
        <w:jc w:val="both"/>
      </w:pPr>
      <w:r w:rsidRPr="00EF0CD4">
        <w:rPr>
          <w:b/>
        </w:rPr>
        <w:t>Email:</w:t>
      </w:r>
      <w:r w:rsidRPr="00EF0CD4">
        <w:rPr>
          <w:b/>
        </w:rPr>
        <w:tab/>
      </w:r>
      <w:r w:rsidRPr="00EF0CD4">
        <w:t>Mail tool in e-Learning in Canvas (preferred</w:t>
      </w:r>
      <w:r w:rsidRPr="00EF0CD4">
        <w:rPr>
          <w:spacing w:val="-8"/>
        </w:rPr>
        <w:t xml:space="preserve"> </w:t>
      </w:r>
      <w:r w:rsidRPr="00EF0CD4">
        <w:t>method)</w:t>
      </w:r>
    </w:p>
    <w:p w14:paraId="35F1CFC8" w14:textId="77777777" w:rsidR="00265724" w:rsidRPr="00EF0CD4" w:rsidRDefault="00265724" w:rsidP="00550F37">
      <w:pPr>
        <w:tabs>
          <w:tab w:val="left" w:pos="1648"/>
        </w:tabs>
        <w:spacing w:line="240" w:lineRule="exact"/>
        <w:jc w:val="both"/>
      </w:pPr>
      <w:r w:rsidRPr="00EF0CD4">
        <w:rPr>
          <w:b/>
        </w:rPr>
        <w:t>Website:</w:t>
      </w:r>
      <w:r w:rsidRPr="00EF0CD4">
        <w:rPr>
          <w:b/>
        </w:rPr>
        <w:tab/>
      </w:r>
      <w:r w:rsidRPr="00EF0CD4">
        <w:t>UF e-Learning in</w:t>
      </w:r>
      <w:r w:rsidRPr="00EF0CD4">
        <w:rPr>
          <w:spacing w:val="-5"/>
        </w:rPr>
        <w:t xml:space="preserve"> </w:t>
      </w:r>
      <w:r w:rsidRPr="00EF0CD4">
        <w:t>Canvas</w:t>
      </w:r>
    </w:p>
    <w:p w14:paraId="18BCFB88" w14:textId="45E5893D" w:rsidR="00265724" w:rsidRPr="00EF0CD4" w:rsidRDefault="00265724" w:rsidP="00550F37">
      <w:pPr>
        <w:tabs>
          <w:tab w:val="left" w:pos="1620"/>
        </w:tabs>
        <w:spacing w:line="240" w:lineRule="exact"/>
        <w:jc w:val="both"/>
        <w:rPr>
          <w:color w:val="000000" w:themeColor="text1"/>
        </w:rPr>
      </w:pPr>
      <w:r w:rsidRPr="00EF0CD4">
        <w:rPr>
          <w:b/>
          <w:color w:val="000000" w:themeColor="text1"/>
        </w:rPr>
        <w:t xml:space="preserve">Office Hours: </w:t>
      </w:r>
      <w:r w:rsidRPr="00EF0CD4">
        <w:rPr>
          <w:color w:val="000000" w:themeColor="text1"/>
        </w:rPr>
        <w:t xml:space="preserve"> </w:t>
      </w:r>
      <w:r>
        <w:rPr>
          <w:color w:val="000000" w:themeColor="text1"/>
        </w:rPr>
        <w:tab/>
      </w:r>
      <w:r w:rsidR="005C5B26">
        <w:rPr>
          <w:color w:val="000000" w:themeColor="text1"/>
        </w:rPr>
        <w:t>B</w:t>
      </w:r>
      <w:r w:rsidRPr="00EF0CD4">
        <w:rPr>
          <w:color w:val="000000" w:themeColor="text1"/>
        </w:rPr>
        <w:t xml:space="preserve">y appointment </w:t>
      </w:r>
    </w:p>
    <w:p w14:paraId="4AC97918" w14:textId="77777777" w:rsidR="00083B4E" w:rsidRPr="00EF0CD4" w:rsidRDefault="00083B4E" w:rsidP="00083B4E">
      <w:pPr>
        <w:tabs>
          <w:tab w:val="left" w:pos="1620"/>
        </w:tabs>
        <w:spacing w:line="252" w:lineRule="exact"/>
        <w:rPr>
          <w:color w:val="000000" w:themeColor="text1"/>
        </w:rPr>
      </w:pPr>
      <w:r w:rsidRPr="00EF0CD4">
        <w:rPr>
          <w:b/>
          <w:color w:val="000000" w:themeColor="text1"/>
        </w:rPr>
        <w:t>TA:</w:t>
      </w:r>
      <w:r w:rsidRPr="00EF0CD4">
        <w:rPr>
          <w:color w:val="000000" w:themeColor="text1"/>
        </w:rPr>
        <w:t xml:space="preserve"> </w:t>
      </w:r>
      <w:r>
        <w:rPr>
          <w:color w:val="000000" w:themeColor="text1"/>
        </w:rPr>
        <w:tab/>
        <w:t>Mohamad Hasnain</w:t>
      </w:r>
      <w:r w:rsidRPr="00EF0CD4">
        <w:rPr>
          <w:color w:val="000000" w:themeColor="text1"/>
        </w:rPr>
        <w:t xml:space="preserve"> (</w:t>
      </w:r>
      <w:r w:rsidRPr="00853EB2">
        <w:t>m.hasnain@ufl.edu</w:t>
      </w:r>
      <w:r w:rsidRPr="00EF0CD4">
        <w:rPr>
          <w:color w:val="000000" w:themeColor="text1"/>
        </w:rPr>
        <w:t>)</w:t>
      </w:r>
      <w:r>
        <w:rPr>
          <w:color w:val="000000" w:themeColor="text1"/>
        </w:rPr>
        <w:t xml:space="preserve"> and Zixian Zhu (</w:t>
      </w:r>
      <w:hyperlink r:id="rId5" w:history="1">
        <w:r w:rsidRPr="00456679">
          <w:rPr>
            <w:rStyle w:val="Hyperlink"/>
          </w:rPr>
          <w:t>zhuzixian@ufl.edu</w:t>
        </w:r>
      </w:hyperlink>
      <w:r>
        <w:rPr>
          <w:color w:val="000000" w:themeColor="text1"/>
        </w:rPr>
        <w:t xml:space="preserve">) </w:t>
      </w:r>
    </w:p>
    <w:p w14:paraId="2E37672F" w14:textId="77777777" w:rsidR="00083B4E" w:rsidRPr="00EF0CD4" w:rsidRDefault="00083B4E" w:rsidP="00083B4E">
      <w:pPr>
        <w:spacing w:line="252" w:lineRule="exact"/>
        <w:rPr>
          <w:color w:val="000000" w:themeColor="text1"/>
        </w:rPr>
      </w:pPr>
      <w:r w:rsidRPr="00EF0CD4">
        <w:rPr>
          <w:b/>
          <w:color w:val="000000" w:themeColor="text1"/>
        </w:rPr>
        <w:t>TA office hours:</w:t>
      </w:r>
      <w:r w:rsidRPr="00EF0CD4">
        <w:rPr>
          <w:color w:val="000000" w:themeColor="text1"/>
        </w:rPr>
        <w:t xml:space="preserve"> </w:t>
      </w:r>
      <w:r w:rsidRPr="00853EB2">
        <w:rPr>
          <w:i/>
          <w:iCs/>
          <w:color w:val="000000" w:themeColor="text1"/>
        </w:rPr>
        <w:t xml:space="preserve">Mohamad Hasnain </w:t>
      </w:r>
      <w:r>
        <w:rPr>
          <w:i/>
          <w:iCs/>
          <w:color w:val="000000" w:themeColor="text1"/>
        </w:rPr>
        <w:t xml:space="preserve">(TBD), </w:t>
      </w:r>
      <w:r w:rsidRPr="005C5B26">
        <w:rPr>
          <w:i/>
          <w:iCs/>
          <w:color w:val="000000" w:themeColor="text1"/>
        </w:rPr>
        <w:t>Zixian Zhu</w:t>
      </w:r>
      <w:r>
        <w:rPr>
          <w:color w:val="000000" w:themeColor="text1"/>
        </w:rPr>
        <w:t xml:space="preserve"> (TBD)</w:t>
      </w:r>
    </w:p>
    <w:p w14:paraId="77C8F968" w14:textId="77777777" w:rsidR="00F15795" w:rsidRDefault="00F15795" w:rsidP="00550F37">
      <w:pPr>
        <w:spacing w:before="120" w:after="120" w:line="240" w:lineRule="exact"/>
        <w:jc w:val="both"/>
        <w:rPr>
          <w:b/>
          <w:bCs/>
        </w:rPr>
      </w:pPr>
    </w:p>
    <w:p w14:paraId="4853CD61" w14:textId="0B9F428E" w:rsidR="00265724" w:rsidRDefault="00265724" w:rsidP="00550F37">
      <w:pPr>
        <w:spacing w:before="120" w:after="120" w:line="240" w:lineRule="exact"/>
        <w:jc w:val="both"/>
      </w:pPr>
      <w:r w:rsidRPr="00265724">
        <w:rPr>
          <w:b/>
          <w:bCs/>
        </w:rPr>
        <w:t>COURSE DESCRIPTION:</w:t>
      </w:r>
      <w:r w:rsidRPr="00265724">
        <w:t xml:space="preserve"> </w:t>
      </w:r>
      <w:r w:rsidR="003958FD" w:rsidRPr="003958FD">
        <w:t>This graduate-level course offers an in-depth exploration of the critical aspects of construction safety and health. It encompasses a comprehensive study of the industry's regulatory framework, hazard management strategies, and effective risk assessment methodologies. The curriculum is designed to equip students with the knowledge to develop and implement robust safety management programs, understand the pivotal role of human factors in construction safety, and enhance safety training and education. Furthermore, the course delves into the leadership dynamics necessary to foster a positive safety culture in construction settings. It concludes with an examination of emerging trends and technologies shaping the future of construction safety. This course prepares students to address complex safety challenges and lead safety initiatives in the construction industry.</w:t>
      </w:r>
    </w:p>
    <w:p w14:paraId="1AD58014" w14:textId="77777777" w:rsidR="00F15795" w:rsidRDefault="00F15795" w:rsidP="00550F37">
      <w:pPr>
        <w:spacing w:before="120" w:after="120" w:line="240" w:lineRule="exact"/>
        <w:jc w:val="both"/>
        <w:rPr>
          <w:b/>
          <w:bCs/>
        </w:rPr>
      </w:pPr>
    </w:p>
    <w:p w14:paraId="2A4491AE" w14:textId="05B20E26" w:rsidR="00265724" w:rsidRDefault="00265724" w:rsidP="00550F37">
      <w:pPr>
        <w:spacing w:before="120" w:after="120" w:line="240" w:lineRule="exact"/>
        <w:jc w:val="both"/>
      </w:pPr>
      <w:r w:rsidRPr="00265724">
        <w:rPr>
          <w:b/>
          <w:bCs/>
        </w:rPr>
        <w:t>PURPOSE OF COURSE</w:t>
      </w:r>
      <w:r>
        <w:rPr>
          <w:b/>
          <w:bCs/>
        </w:rPr>
        <w:t xml:space="preserve">: </w:t>
      </w:r>
      <w:r w:rsidR="003958FD" w:rsidRPr="003958FD">
        <w:t>This graduate-level course aims to deepen students' understanding of advanced construction safety and health management, fostering their ability to develop and lead effective safety strategies in the industry.</w:t>
      </w:r>
    </w:p>
    <w:p w14:paraId="6DD45447" w14:textId="77777777" w:rsidR="00F15795" w:rsidRDefault="00F15795" w:rsidP="00550F37">
      <w:pPr>
        <w:spacing w:before="120" w:after="120" w:line="240" w:lineRule="exact"/>
        <w:jc w:val="both"/>
        <w:rPr>
          <w:b/>
          <w:bCs/>
        </w:rPr>
      </w:pPr>
    </w:p>
    <w:p w14:paraId="7E378CE9" w14:textId="43429ED6" w:rsidR="00265724" w:rsidRPr="00265724" w:rsidRDefault="00265724" w:rsidP="00550F37">
      <w:pPr>
        <w:spacing w:before="120" w:after="120" w:line="240" w:lineRule="exact"/>
        <w:jc w:val="both"/>
        <w:rPr>
          <w:b/>
          <w:bCs/>
        </w:rPr>
      </w:pPr>
      <w:r w:rsidRPr="00265724">
        <w:rPr>
          <w:b/>
          <w:bCs/>
        </w:rPr>
        <w:t>COURSE LEARNING OUTCOMES (CLOs):</w:t>
      </w:r>
    </w:p>
    <w:p w14:paraId="06E3280C" w14:textId="77777777" w:rsidR="00AF5E90" w:rsidRDefault="00AF5E90" w:rsidP="00550F37">
      <w:pPr>
        <w:spacing w:before="120" w:after="120" w:line="240" w:lineRule="exact"/>
        <w:jc w:val="both"/>
      </w:pPr>
      <w:r>
        <w:t>Upon completion of the course, students will demonstrate the ability to:</w:t>
      </w:r>
    </w:p>
    <w:p w14:paraId="53840A9B" w14:textId="77777777" w:rsidR="00AF5E90" w:rsidRDefault="00AF5E90" w:rsidP="00550F37">
      <w:pPr>
        <w:pStyle w:val="ListParagraph"/>
        <w:numPr>
          <w:ilvl w:val="0"/>
          <w:numId w:val="1"/>
        </w:numPr>
        <w:spacing w:before="120" w:after="120" w:line="240" w:lineRule="exact"/>
        <w:ind w:left="630"/>
        <w:jc w:val="both"/>
      </w:pPr>
      <w:r>
        <w:t>Articulate the fundamental principles and historical trends in construction safety and health.</w:t>
      </w:r>
    </w:p>
    <w:p w14:paraId="0B97C9A2" w14:textId="035EC23C" w:rsidR="00AF5E90" w:rsidRDefault="00AF5E90" w:rsidP="00550F37">
      <w:pPr>
        <w:pStyle w:val="ListParagraph"/>
        <w:numPr>
          <w:ilvl w:val="0"/>
          <w:numId w:val="1"/>
        </w:numPr>
        <w:spacing w:before="120" w:after="120" w:line="240" w:lineRule="exact"/>
        <w:ind w:left="630"/>
        <w:jc w:val="both"/>
      </w:pPr>
      <w:r>
        <w:t>Understand, interpret, and apply OSHA standards and regulations, and be familiar with international regulations in the construction industry.</w:t>
      </w:r>
    </w:p>
    <w:p w14:paraId="591EFFDA" w14:textId="3C057188" w:rsidR="00AF5E90" w:rsidRDefault="00AF5E90" w:rsidP="00550F37">
      <w:pPr>
        <w:pStyle w:val="ListParagraph"/>
        <w:numPr>
          <w:ilvl w:val="0"/>
          <w:numId w:val="1"/>
        </w:numPr>
        <w:spacing w:before="120" w:after="120" w:line="240" w:lineRule="exact"/>
        <w:ind w:left="630"/>
        <w:jc w:val="both"/>
      </w:pPr>
      <w:r>
        <w:t xml:space="preserve">Apply different strategies to </w:t>
      </w:r>
      <w:r w:rsidR="00967E33">
        <w:t>recognize</w:t>
      </w:r>
      <w:r>
        <w:t>, analyze, and manage construction hazards, and incorporate Prevention through Design (PtD) principles.</w:t>
      </w:r>
    </w:p>
    <w:p w14:paraId="154A2A49" w14:textId="211EDF49" w:rsidR="00AF5E90" w:rsidRDefault="00AF5E90" w:rsidP="00550F37">
      <w:pPr>
        <w:pStyle w:val="ListParagraph"/>
        <w:numPr>
          <w:ilvl w:val="0"/>
          <w:numId w:val="1"/>
        </w:numPr>
        <w:spacing w:before="120" w:after="120" w:line="240" w:lineRule="exact"/>
        <w:ind w:left="630"/>
        <w:jc w:val="both"/>
      </w:pPr>
      <w:r>
        <w:t>Apply various accident causation models and use techniques for risk assessment and quantification in construction.</w:t>
      </w:r>
    </w:p>
    <w:p w14:paraId="5944EF0F" w14:textId="24C7A470" w:rsidR="00AF5E90" w:rsidRDefault="00AF5E90" w:rsidP="00550F37">
      <w:pPr>
        <w:pStyle w:val="ListParagraph"/>
        <w:numPr>
          <w:ilvl w:val="0"/>
          <w:numId w:val="1"/>
        </w:numPr>
        <w:spacing w:before="120" w:after="120" w:line="240" w:lineRule="exact"/>
        <w:ind w:left="630"/>
        <w:jc w:val="both"/>
      </w:pPr>
      <w:r>
        <w:t>Design safety management programs for construction projects, focusing on strategy, policy, and performance measurement.</w:t>
      </w:r>
    </w:p>
    <w:p w14:paraId="449409A9" w14:textId="19FC2CF0" w:rsidR="00AF5E90" w:rsidRDefault="00AF5E90" w:rsidP="00550F37">
      <w:pPr>
        <w:pStyle w:val="ListParagraph"/>
        <w:numPr>
          <w:ilvl w:val="0"/>
          <w:numId w:val="1"/>
        </w:numPr>
        <w:spacing w:before="120" w:after="120" w:line="240" w:lineRule="exact"/>
        <w:ind w:left="630"/>
        <w:jc w:val="both"/>
      </w:pPr>
      <w:r>
        <w:t>Recognize the role of human behavior and perception in construction safety, and implement strategies to manage these factors.</w:t>
      </w:r>
    </w:p>
    <w:p w14:paraId="7E4371DB" w14:textId="353128FD" w:rsidR="00AF5E90" w:rsidRDefault="00AF5E90" w:rsidP="00550F37">
      <w:pPr>
        <w:pStyle w:val="ListParagraph"/>
        <w:numPr>
          <w:ilvl w:val="0"/>
          <w:numId w:val="1"/>
        </w:numPr>
        <w:spacing w:before="120" w:after="120" w:line="240" w:lineRule="exact"/>
        <w:ind w:left="630"/>
        <w:jc w:val="both"/>
      </w:pPr>
      <w:r>
        <w:t>Recognize the role of positive safety culture and effective leadership within construction safety management.</w:t>
      </w:r>
    </w:p>
    <w:p w14:paraId="7C73DA1D" w14:textId="3D01DB57" w:rsidR="00AF5E90" w:rsidRDefault="00AF5E90" w:rsidP="00550F37">
      <w:pPr>
        <w:pStyle w:val="ListParagraph"/>
        <w:numPr>
          <w:ilvl w:val="0"/>
          <w:numId w:val="1"/>
        </w:numPr>
        <w:spacing w:before="120" w:after="120" w:line="240" w:lineRule="exact"/>
        <w:ind w:left="630"/>
        <w:jc w:val="both"/>
      </w:pPr>
      <w:r>
        <w:t>Be familiar with emerging technologies and trends, such as AI, robotics, VR, and wearables, in construction safety practices.</w:t>
      </w:r>
    </w:p>
    <w:p w14:paraId="513D1C7F" w14:textId="77777777" w:rsidR="00F15795" w:rsidRDefault="00F15795" w:rsidP="00F15795">
      <w:pPr>
        <w:spacing w:before="120" w:after="120" w:line="240" w:lineRule="exact"/>
        <w:jc w:val="both"/>
      </w:pPr>
      <w:r w:rsidRPr="00F15795">
        <w:rPr>
          <w:b/>
        </w:rPr>
        <w:lastRenderedPageBreak/>
        <w:t>INSTRUCTIONAL METHODS</w:t>
      </w:r>
      <w:r w:rsidRPr="00EF0CD4">
        <w:t xml:space="preserve">: </w:t>
      </w:r>
      <w:r>
        <w:t xml:space="preserve">In-person </w:t>
      </w:r>
      <w:r w:rsidRPr="00EF0CD4">
        <w:t>lectures, guest lectures</w:t>
      </w:r>
      <w:r>
        <w:t>, class discussions, Reading assignments</w:t>
      </w:r>
    </w:p>
    <w:p w14:paraId="4F7DD12E" w14:textId="5E8F2570" w:rsidR="00F15795" w:rsidRPr="00F15795" w:rsidRDefault="00F15795" w:rsidP="00F15795">
      <w:pPr>
        <w:pStyle w:val="ListParagraph"/>
        <w:numPr>
          <w:ilvl w:val="0"/>
          <w:numId w:val="12"/>
        </w:numPr>
        <w:adjustRightInd w:val="0"/>
        <w:jc w:val="both"/>
        <w:rPr>
          <w:color w:val="000000"/>
        </w:rPr>
      </w:pPr>
      <w:r w:rsidRPr="00F15795">
        <w:rPr>
          <w:b/>
          <w:bCs/>
          <w:color w:val="000000"/>
        </w:rPr>
        <w:t xml:space="preserve">Pre-Class Preparation Materials: </w:t>
      </w:r>
      <w:r w:rsidRPr="00F15795">
        <w:rPr>
          <w:b/>
          <w:bCs/>
          <w:i/>
          <w:iCs/>
          <w:color w:val="000000"/>
        </w:rPr>
        <w:t xml:space="preserve">Reading assignments </w:t>
      </w:r>
      <w:r w:rsidRPr="00F15795">
        <w:rPr>
          <w:color w:val="000000"/>
        </w:rPr>
        <w:t xml:space="preserve">will help you prepare for the active learning activities and are critical aspect of learning the course content. Your completion of the reading will be worth 10% of your grade and will be assessed using </w:t>
      </w:r>
      <w:proofErr w:type="spellStart"/>
      <w:r w:rsidRPr="00F15795">
        <w:rPr>
          <w:color w:val="000000"/>
        </w:rPr>
        <w:t>Perusall</w:t>
      </w:r>
      <w:proofErr w:type="spellEnd"/>
      <w:r w:rsidRPr="00F15795">
        <w:rPr>
          <w:color w:val="000000"/>
        </w:rPr>
        <w:t xml:space="preserve">. </w:t>
      </w:r>
    </w:p>
    <w:p w14:paraId="1228D537" w14:textId="61B5FF42" w:rsidR="00F15795" w:rsidRPr="00B2662D" w:rsidRDefault="00F15795" w:rsidP="00F15795">
      <w:pPr>
        <w:pStyle w:val="Default"/>
        <w:numPr>
          <w:ilvl w:val="0"/>
          <w:numId w:val="12"/>
        </w:numPr>
        <w:jc w:val="both"/>
        <w:rPr>
          <w:sz w:val="22"/>
          <w:szCs w:val="22"/>
        </w:rPr>
      </w:pPr>
      <w:r w:rsidRPr="00F15795">
        <w:rPr>
          <w:rFonts w:eastAsia="Times New Roman"/>
          <w:b/>
          <w:bCs/>
          <w:sz w:val="22"/>
          <w:szCs w:val="22"/>
        </w:rPr>
        <w:t xml:space="preserve">Attendance </w:t>
      </w:r>
      <w:r w:rsidR="00083B4E" w:rsidRPr="00F15795">
        <w:rPr>
          <w:rFonts w:eastAsia="Times New Roman"/>
          <w:b/>
          <w:bCs/>
          <w:sz w:val="22"/>
          <w:szCs w:val="22"/>
        </w:rPr>
        <w:t>of</w:t>
      </w:r>
      <w:r w:rsidRPr="00F15795">
        <w:rPr>
          <w:rFonts w:eastAsia="Times New Roman"/>
          <w:b/>
          <w:bCs/>
          <w:sz w:val="22"/>
          <w:szCs w:val="22"/>
        </w:rPr>
        <w:t xml:space="preserve"> Live Classes</w:t>
      </w:r>
      <w:r w:rsidRPr="00B2662D">
        <w:rPr>
          <w:b/>
          <w:bCs/>
          <w:i/>
          <w:iCs/>
          <w:sz w:val="22"/>
          <w:szCs w:val="22"/>
        </w:rPr>
        <w:t xml:space="preserve"> </w:t>
      </w:r>
      <w:r w:rsidRPr="00B2662D">
        <w:rPr>
          <w:sz w:val="22"/>
          <w:szCs w:val="22"/>
        </w:rPr>
        <w:t xml:space="preserve">is </w:t>
      </w:r>
      <w:r>
        <w:rPr>
          <w:sz w:val="22"/>
          <w:szCs w:val="22"/>
        </w:rPr>
        <w:t>required.</w:t>
      </w:r>
      <w:r w:rsidRPr="00B2662D">
        <w:t xml:space="preserve"> </w:t>
      </w:r>
      <w:r>
        <w:rPr>
          <w:sz w:val="22"/>
          <w:szCs w:val="22"/>
        </w:rPr>
        <w:t>T</w:t>
      </w:r>
      <w:r w:rsidRPr="00B2662D">
        <w:rPr>
          <w:sz w:val="22"/>
          <w:szCs w:val="22"/>
        </w:rPr>
        <w:t xml:space="preserve">here will be </w:t>
      </w:r>
      <w:r>
        <w:rPr>
          <w:sz w:val="22"/>
          <w:szCs w:val="22"/>
        </w:rPr>
        <w:t xml:space="preserve">graded </w:t>
      </w:r>
      <w:r w:rsidRPr="00B2662D">
        <w:rPr>
          <w:sz w:val="22"/>
          <w:szCs w:val="22"/>
        </w:rPr>
        <w:t>discussion</w:t>
      </w:r>
      <w:r>
        <w:rPr>
          <w:sz w:val="22"/>
          <w:szCs w:val="22"/>
        </w:rPr>
        <w:t>s,</w:t>
      </w:r>
      <w:r w:rsidRPr="00B2662D">
        <w:rPr>
          <w:sz w:val="22"/>
          <w:szCs w:val="22"/>
        </w:rPr>
        <w:t xml:space="preserve"> individual and group work</w:t>
      </w:r>
      <w:r>
        <w:rPr>
          <w:sz w:val="22"/>
          <w:szCs w:val="22"/>
        </w:rPr>
        <w:t xml:space="preserve">, </w:t>
      </w:r>
      <w:r w:rsidRPr="00B2662D">
        <w:rPr>
          <w:sz w:val="22"/>
          <w:szCs w:val="22"/>
        </w:rPr>
        <w:t>In Class Exercise</w:t>
      </w:r>
      <w:r>
        <w:rPr>
          <w:sz w:val="22"/>
          <w:szCs w:val="22"/>
        </w:rPr>
        <w:t>s in the class and</w:t>
      </w:r>
      <w:r w:rsidRPr="00B2662D">
        <w:rPr>
          <w:sz w:val="22"/>
          <w:szCs w:val="22"/>
        </w:rPr>
        <w:t xml:space="preserve"> </w:t>
      </w:r>
      <w:r>
        <w:rPr>
          <w:sz w:val="22"/>
          <w:szCs w:val="22"/>
        </w:rPr>
        <w:t>s</w:t>
      </w:r>
      <w:r w:rsidRPr="00B2662D">
        <w:rPr>
          <w:sz w:val="22"/>
          <w:szCs w:val="22"/>
        </w:rPr>
        <w:t xml:space="preserve">tudents are encouraged to ask questions and participate. </w:t>
      </w:r>
    </w:p>
    <w:p w14:paraId="5F44E508" w14:textId="77777777" w:rsidR="00F15795" w:rsidRPr="00EF0CD4" w:rsidRDefault="00F15795" w:rsidP="00F15795">
      <w:pPr>
        <w:pStyle w:val="Heading1"/>
        <w:spacing w:before="120" w:after="120" w:line="240" w:lineRule="exact"/>
        <w:ind w:left="0"/>
        <w:jc w:val="both"/>
      </w:pPr>
      <w:r w:rsidRPr="00EF0CD4">
        <w:t xml:space="preserve">COURSE </w:t>
      </w:r>
      <w:r>
        <w:t>TENTATIVE SCHEDULE</w:t>
      </w:r>
      <w:r w:rsidRPr="00EF0CD4">
        <w:t>:</w:t>
      </w:r>
    </w:p>
    <w:tbl>
      <w:tblPr>
        <w:tblW w:w="92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8010"/>
      </w:tblGrid>
      <w:tr w:rsidR="00DC031A" w:rsidRPr="00DC031A" w14:paraId="26837E10"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1134D67" w14:textId="543011E1" w:rsidR="00DC031A" w:rsidRPr="00DC031A" w:rsidRDefault="00DC031A" w:rsidP="00DC031A">
            <w:pPr>
              <w:pStyle w:val="TableParagraph"/>
              <w:spacing w:line="240" w:lineRule="auto"/>
              <w:ind w:left="0" w:right="90"/>
              <w:jc w:val="center"/>
              <w:rPr>
                <w:b/>
                <w:szCs w:val="20"/>
              </w:rPr>
            </w:pPr>
            <w:r w:rsidRPr="00DC031A">
              <w:rPr>
                <w:rStyle w:val="Strong"/>
              </w:rPr>
              <w:t>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0C8D5F08" w14:textId="2DE31724" w:rsidR="00DC031A" w:rsidRPr="00DC031A" w:rsidRDefault="00DC031A" w:rsidP="00DC031A">
            <w:pPr>
              <w:pStyle w:val="TableParagraph"/>
              <w:spacing w:line="240" w:lineRule="auto"/>
              <w:ind w:left="2082" w:right="2076"/>
              <w:jc w:val="center"/>
              <w:rPr>
                <w:b/>
                <w:szCs w:val="20"/>
              </w:rPr>
            </w:pPr>
            <w:r w:rsidRPr="00DC031A">
              <w:rPr>
                <w:rStyle w:val="Strong"/>
              </w:rPr>
              <w:t>Section</w:t>
            </w:r>
          </w:p>
        </w:tc>
      </w:tr>
      <w:tr w:rsidR="00DC031A" w:rsidRPr="00DC031A" w14:paraId="23ABF78D"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BFB87EE" w14:textId="77777777" w:rsidR="00DC031A" w:rsidRPr="00DC031A" w:rsidRDefault="00DC031A" w:rsidP="00DC031A">
            <w:pPr>
              <w:pStyle w:val="NormalWeb"/>
              <w:spacing w:before="0" w:beforeAutospacing="0" w:after="0" w:afterAutospacing="0"/>
              <w:ind w:left="53"/>
            </w:pPr>
            <w:r w:rsidRPr="00DC031A">
              <w:t>Week 1</w:t>
            </w:r>
          </w:p>
          <w:p w14:paraId="05D7CEA5" w14:textId="7B9ABD14"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431F527A" w14:textId="1B826458" w:rsidR="00DC031A" w:rsidRPr="00DC031A" w:rsidRDefault="00DC031A" w:rsidP="00DC031A">
            <w:pPr>
              <w:pStyle w:val="TableParagraph"/>
              <w:spacing w:line="240" w:lineRule="auto"/>
              <w:ind w:left="87" w:right="98"/>
              <w:rPr>
                <w:szCs w:val="20"/>
              </w:rPr>
            </w:pPr>
            <w:r w:rsidRPr="00DC031A">
              <w:rPr>
                <w:rStyle w:val="Strong"/>
              </w:rPr>
              <w:t>Overview of Construction Safety and Health:</w:t>
            </w:r>
            <w:r w:rsidRPr="00DC031A">
              <w:t> Introduction to safety and health principles in the construction industry, focusing on historical perspectives and current trends.</w:t>
            </w:r>
          </w:p>
        </w:tc>
      </w:tr>
      <w:tr w:rsidR="00DC031A" w:rsidRPr="00DC031A" w14:paraId="4CD47B42"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4504FB8" w14:textId="77777777" w:rsidR="00DC031A" w:rsidRPr="00DC031A" w:rsidRDefault="00DC031A" w:rsidP="00DC031A">
            <w:pPr>
              <w:pStyle w:val="NormalWeb"/>
              <w:spacing w:before="0" w:beforeAutospacing="0" w:after="0" w:afterAutospacing="0"/>
              <w:ind w:left="53"/>
            </w:pPr>
            <w:r w:rsidRPr="00DC031A">
              <w:t>Week 2</w:t>
            </w:r>
          </w:p>
          <w:p w14:paraId="3E911D72" w14:textId="480F382F"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60237F38" w14:textId="7EA0A243" w:rsidR="00DC031A" w:rsidRPr="00DC031A" w:rsidRDefault="00DC031A" w:rsidP="00DC031A">
            <w:pPr>
              <w:pStyle w:val="TableParagraph"/>
              <w:spacing w:line="240" w:lineRule="auto"/>
              <w:ind w:left="87" w:right="98"/>
              <w:rPr>
                <w:szCs w:val="20"/>
              </w:rPr>
            </w:pPr>
            <w:r w:rsidRPr="00DC031A">
              <w:rPr>
                <w:rStyle w:val="Strong"/>
              </w:rPr>
              <w:t>Regulatory Framework and Compliance:</w:t>
            </w:r>
            <w:r w:rsidRPr="00DC031A">
              <w:t> Detailed examination of OSHA standards, international regulations, and compliance strategies in the construction industry.</w:t>
            </w:r>
          </w:p>
        </w:tc>
      </w:tr>
      <w:tr w:rsidR="00DC031A" w:rsidRPr="00DC031A" w14:paraId="74D6537A"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37DD81A" w14:textId="77777777" w:rsidR="00DC031A" w:rsidRPr="00DC031A" w:rsidRDefault="00DC031A" w:rsidP="00DC031A">
            <w:pPr>
              <w:pStyle w:val="NormalWeb"/>
              <w:spacing w:before="0" w:beforeAutospacing="0" w:after="0" w:afterAutospacing="0"/>
              <w:ind w:left="53"/>
            </w:pPr>
            <w:r w:rsidRPr="00DC031A">
              <w:t>Week 3-4</w:t>
            </w:r>
          </w:p>
          <w:p w14:paraId="491D7FBA" w14:textId="3DD84FB6"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0BB9E016" w14:textId="24C51A45" w:rsidR="00DC031A" w:rsidRPr="00DC031A" w:rsidRDefault="00DC031A" w:rsidP="00DC031A">
            <w:pPr>
              <w:pStyle w:val="TableParagraph"/>
              <w:spacing w:line="240" w:lineRule="auto"/>
              <w:ind w:left="87" w:right="98"/>
              <w:rPr>
                <w:szCs w:val="20"/>
              </w:rPr>
            </w:pPr>
            <w:r w:rsidRPr="00DC031A">
              <w:rPr>
                <w:rStyle w:val="Strong"/>
              </w:rPr>
              <w:t>Hazard Management in Construction:</w:t>
            </w:r>
            <w:r w:rsidRPr="00DC031A">
              <w:t> Comprehensive study of identifying, analyzing, and managing construction hazards. Exploration of different accident causation models</w:t>
            </w:r>
          </w:p>
        </w:tc>
      </w:tr>
      <w:tr w:rsidR="00DC031A" w:rsidRPr="00DC031A" w14:paraId="66C7C08E"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1536E405" w14:textId="77777777" w:rsidR="00DC031A" w:rsidRPr="00DC031A" w:rsidRDefault="00DC031A" w:rsidP="00DC031A">
            <w:pPr>
              <w:pStyle w:val="NormalWeb"/>
              <w:spacing w:before="0" w:beforeAutospacing="0" w:after="0" w:afterAutospacing="0"/>
              <w:ind w:left="53"/>
            </w:pPr>
            <w:r w:rsidRPr="00DC031A">
              <w:t>Week 5</w:t>
            </w:r>
          </w:p>
          <w:p w14:paraId="7D26EBBC" w14:textId="75D662CA"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592E783E" w14:textId="6859E805" w:rsidR="00DC031A" w:rsidRPr="00DC031A" w:rsidRDefault="00DC031A" w:rsidP="00DC031A">
            <w:pPr>
              <w:pStyle w:val="TableParagraph"/>
              <w:spacing w:line="240" w:lineRule="auto"/>
              <w:ind w:left="87" w:right="98"/>
              <w:rPr>
                <w:szCs w:val="20"/>
              </w:rPr>
            </w:pPr>
            <w:r w:rsidRPr="00DC031A">
              <w:rPr>
                <w:rStyle w:val="Strong"/>
              </w:rPr>
              <w:t>Risk Assessment and Quantification:</w:t>
            </w:r>
            <w:r w:rsidRPr="00DC031A">
              <w:t> Exploration of techniques for risk assessment and quantification in construction to evaluate and mitigate risks effectively.</w:t>
            </w:r>
          </w:p>
        </w:tc>
      </w:tr>
      <w:tr w:rsidR="00DC031A" w:rsidRPr="00DC031A" w14:paraId="4B7D9E49"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88244C4" w14:textId="0C4A125B" w:rsidR="00DC031A" w:rsidRPr="00DC031A" w:rsidRDefault="00DC031A" w:rsidP="00DC031A">
            <w:pPr>
              <w:pStyle w:val="TableParagraph"/>
              <w:spacing w:line="240" w:lineRule="auto"/>
              <w:ind w:left="53"/>
              <w:rPr>
                <w:szCs w:val="20"/>
              </w:rPr>
            </w:pPr>
            <w:r w:rsidRPr="00DC031A">
              <w:t>Week 6</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38951CC6" w14:textId="2E0B0E06" w:rsidR="00DC031A" w:rsidRPr="00DC031A" w:rsidRDefault="00DC031A" w:rsidP="00DC031A">
            <w:pPr>
              <w:pStyle w:val="TableParagraph"/>
              <w:spacing w:line="240" w:lineRule="auto"/>
              <w:ind w:left="87" w:right="98"/>
              <w:rPr>
                <w:szCs w:val="20"/>
              </w:rPr>
            </w:pPr>
            <w:r w:rsidRPr="00DC031A">
              <w:rPr>
                <w:rStyle w:val="Strong"/>
              </w:rPr>
              <w:t>Prevention through Design: </w:t>
            </w:r>
            <w:r w:rsidRPr="00DC031A">
              <w:t>PtD Concept and Benefits, Examples, Processes and Tools</w:t>
            </w:r>
          </w:p>
        </w:tc>
      </w:tr>
      <w:tr w:rsidR="00DC031A" w:rsidRPr="00DC031A" w14:paraId="2C3DF798"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0F043EA1" w14:textId="77777777" w:rsidR="00DC031A" w:rsidRPr="00DC031A" w:rsidRDefault="00DC031A" w:rsidP="00DC031A">
            <w:pPr>
              <w:pStyle w:val="NormalWeb"/>
              <w:spacing w:before="0" w:beforeAutospacing="0" w:after="0" w:afterAutospacing="0"/>
              <w:ind w:left="53"/>
            </w:pPr>
            <w:r w:rsidRPr="00DC031A">
              <w:t>Week 6-7</w:t>
            </w:r>
          </w:p>
          <w:p w14:paraId="633B05FA" w14:textId="30E3553F"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6A6127BA" w14:textId="60B67BB2" w:rsidR="00DC031A" w:rsidRPr="00DC031A" w:rsidRDefault="00DC031A" w:rsidP="00DC031A">
            <w:pPr>
              <w:pStyle w:val="TableParagraph"/>
              <w:spacing w:line="240" w:lineRule="auto"/>
              <w:ind w:left="87" w:right="98"/>
              <w:rPr>
                <w:szCs w:val="20"/>
              </w:rPr>
            </w:pPr>
            <w:r w:rsidRPr="00DC031A">
              <w:rPr>
                <w:rStyle w:val="Strong"/>
              </w:rPr>
              <w:t>Building a Safety Management Program:</w:t>
            </w:r>
            <w:r w:rsidRPr="00DC031A">
              <w:t> Developing a framework for creating and implementing an effective safety management program in construction projects, including strategy, policy, and performance measurement with special emphasis on leading indicators.</w:t>
            </w:r>
          </w:p>
        </w:tc>
      </w:tr>
      <w:tr w:rsidR="00DC031A" w:rsidRPr="00DC031A" w14:paraId="603965E2"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3B438A6" w14:textId="77777777" w:rsidR="00DC031A" w:rsidRPr="00DC031A" w:rsidRDefault="00DC031A" w:rsidP="00DC031A">
            <w:pPr>
              <w:pStyle w:val="NormalWeb"/>
              <w:spacing w:before="0" w:beforeAutospacing="0" w:after="0" w:afterAutospacing="0"/>
              <w:ind w:left="53"/>
            </w:pPr>
            <w:r w:rsidRPr="00DC031A">
              <w:t>Week 8</w:t>
            </w:r>
          </w:p>
          <w:p w14:paraId="01CF4C54" w14:textId="43EE221B"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08AFED90" w14:textId="19DD76D3" w:rsidR="00DC031A" w:rsidRPr="00DC031A" w:rsidRDefault="00DC031A" w:rsidP="00DC031A">
            <w:pPr>
              <w:pStyle w:val="TableParagraph"/>
              <w:spacing w:line="240" w:lineRule="auto"/>
              <w:ind w:left="87" w:right="98"/>
              <w:rPr>
                <w:szCs w:val="20"/>
              </w:rPr>
            </w:pPr>
            <w:r w:rsidRPr="00DC031A">
              <w:rPr>
                <w:rStyle w:val="Strong"/>
              </w:rPr>
              <w:t>Human Factors in Construction Safety:</w:t>
            </w:r>
            <w:r w:rsidRPr="00DC031A">
              <w:t> Understanding the role of human</w:t>
            </w:r>
            <w:r>
              <w:t xml:space="preserve">, capabilities, limitations, </w:t>
            </w:r>
            <w:r w:rsidRPr="00DC031A">
              <w:t xml:space="preserve">behavior and perception in construction safety, and how to address these factors in safety management.  </w:t>
            </w:r>
          </w:p>
        </w:tc>
      </w:tr>
      <w:tr w:rsidR="00DC031A" w:rsidRPr="00DC031A" w14:paraId="04D63AF0"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31F13394" w14:textId="1B1BF621" w:rsidR="00DC031A" w:rsidRPr="00DC031A" w:rsidRDefault="00DC031A" w:rsidP="00DC031A">
            <w:pPr>
              <w:pStyle w:val="NormalWeb"/>
              <w:spacing w:before="0" w:beforeAutospacing="0" w:after="0" w:afterAutospacing="0"/>
              <w:ind w:left="53"/>
            </w:pPr>
            <w:r w:rsidRPr="00DC031A">
              <w:t>Week 9</w:t>
            </w:r>
          </w:p>
          <w:p w14:paraId="5A545894" w14:textId="0D547834" w:rsidR="00DC031A" w:rsidRPr="00DC031A" w:rsidRDefault="00DC031A" w:rsidP="00DC031A">
            <w:pPr>
              <w:pStyle w:val="TableParagraph"/>
              <w:spacing w:line="240" w:lineRule="auto"/>
              <w:ind w:left="53"/>
              <w:rPr>
                <w:szCs w:val="20"/>
              </w:rPr>
            </w:pPr>
            <w:r w:rsidRPr="00DC031A">
              <w:t> </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70D70B37" w14:textId="5AE84643" w:rsidR="00DC031A" w:rsidRPr="00DC031A" w:rsidRDefault="00DC031A" w:rsidP="00DC031A">
            <w:pPr>
              <w:pStyle w:val="TableParagraph"/>
              <w:spacing w:line="240" w:lineRule="auto"/>
              <w:ind w:left="87" w:right="98"/>
              <w:rPr>
                <w:szCs w:val="20"/>
              </w:rPr>
            </w:pPr>
            <w:r w:rsidRPr="00DC031A">
              <w:rPr>
                <w:rStyle w:val="Strong"/>
              </w:rPr>
              <w:t>Safety Training and Education in Construction:</w:t>
            </w:r>
            <w:r w:rsidRPr="00DC031A">
              <w:t> Methods and effectiveness of safety training and education in the construction industry, including adult learning principles.</w:t>
            </w:r>
          </w:p>
        </w:tc>
      </w:tr>
      <w:tr w:rsidR="00DC031A" w:rsidRPr="00DC031A" w14:paraId="7B3B2953"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299FC9B4" w14:textId="09D398A9" w:rsidR="00DC031A" w:rsidRPr="00DC031A" w:rsidRDefault="00DC031A" w:rsidP="00DC031A">
            <w:pPr>
              <w:pStyle w:val="TableParagraph"/>
              <w:spacing w:line="240" w:lineRule="auto"/>
              <w:ind w:left="53"/>
              <w:rPr>
                <w:szCs w:val="20"/>
              </w:rPr>
            </w:pPr>
            <w:r w:rsidRPr="00DC031A">
              <w:t>Week 1</w:t>
            </w:r>
            <w:r>
              <w:t>0</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7209C0ED" w14:textId="0CD617AF" w:rsidR="00DC031A" w:rsidRPr="00DC031A" w:rsidRDefault="00DC031A" w:rsidP="00DC031A">
            <w:pPr>
              <w:pStyle w:val="TableParagraph"/>
              <w:spacing w:line="240" w:lineRule="auto"/>
              <w:ind w:left="87" w:right="98"/>
              <w:rPr>
                <w:szCs w:val="20"/>
              </w:rPr>
            </w:pPr>
            <w:r w:rsidRPr="00DC031A">
              <w:rPr>
                <w:rStyle w:val="Strong"/>
              </w:rPr>
              <w:t>Safety Culture and Leadership in Construction:</w:t>
            </w:r>
            <w:r w:rsidRPr="00DC031A">
              <w:t> Developing and fostering a positive safety culture and effective leadership within construction safety management.</w:t>
            </w:r>
          </w:p>
        </w:tc>
      </w:tr>
      <w:tr w:rsidR="00DC031A" w:rsidRPr="00DC031A" w14:paraId="3E2139DF"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27AD3E47" w14:textId="73877F51" w:rsidR="00DC031A" w:rsidRPr="00DC031A" w:rsidRDefault="00DC031A" w:rsidP="00DC031A">
            <w:pPr>
              <w:pStyle w:val="TableParagraph"/>
              <w:spacing w:line="240" w:lineRule="auto"/>
              <w:ind w:left="53"/>
              <w:rPr>
                <w:i/>
                <w:iCs/>
                <w:szCs w:val="20"/>
              </w:rPr>
            </w:pPr>
            <w:r w:rsidRPr="00DC031A">
              <w:t>Week 1</w:t>
            </w:r>
            <w:r>
              <w:t>1</w:t>
            </w:r>
            <w:r w:rsidRPr="00DC031A">
              <w:t>-14</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3C3AFDA3" w14:textId="4E28BDE6" w:rsidR="00DC031A" w:rsidRPr="00DC031A" w:rsidRDefault="00DC031A" w:rsidP="00DC031A">
            <w:pPr>
              <w:pStyle w:val="TableParagraph"/>
              <w:spacing w:line="240" w:lineRule="auto"/>
              <w:ind w:left="87" w:right="98"/>
              <w:rPr>
                <w:szCs w:val="20"/>
              </w:rPr>
            </w:pPr>
            <w:r w:rsidRPr="00DC031A">
              <w:rPr>
                <w:rStyle w:val="Strong"/>
              </w:rPr>
              <w:t>Emerging Trends and Technology in Construction Safety:</w:t>
            </w:r>
            <w:r w:rsidRPr="00DC031A">
              <w:t> Investigating the impact of new technologies and current research trends in construction safety, such as AI, robotics, VR, and wearables.</w:t>
            </w:r>
            <w:r>
              <w:t xml:space="preserve"> </w:t>
            </w:r>
            <w:r w:rsidRPr="00DC031A">
              <w:rPr>
                <w:i/>
                <w:iCs/>
                <w:u w:val="single"/>
              </w:rPr>
              <w:t>AI for Safety Mini-Project</w:t>
            </w:r>
          </w:p>
        </w:tc>
      </w:tr>
      <w:tr w:rsidR="00DC031A" w:rsidRPr="00DC031A" w14:paraId="750A899D" w14:textId="77777777" w:rsidTr="00DC031A">
        <w:trPr>
          <w:trHeight w:val="20"/>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3E24FC43" w14:textId="5DD39EB9" w:rsidR="00DC031A" w:rsidRPr="00DC031A" w:rsidRDefault="00DC031A" w:rsidP="00DC031A">
            <w:pPr>
              <w:pStyle w:val="TableParagraph"/>
              <w:spacing w:line="240" w:lineRule="auto"/>
              <w:jc w:val="both"/>
            </w:pPr>
            <w:r w:rsidRPr="00DC031A">
              <w:rPr>
                <w:rStyle w:val="Emphasis"/>
              </w:rPr>
              <w:t>Exam 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tcPr>
          <w:p w14:paraId="2BEE6E4F" w14:textId="1A7D0DBB" w:rsidR="00DC031A" w:rsidRPr="00DC031A" w:rsidRDefault="00DC031A" w:rsidP="00DC031A">
            <w:pPr>
              <w:pStyle w:val="TableParagraph"/>
              <w:spacing w:line="240" w:lineRule="auto"/>
              <w:ind w:left="170" w:right="98"/>
              <w:rPr>
                <w:rStyle w:val="Strong"/>
                <w:b w:val="0"/>
                <w:bCs w:val="0"/>
              </w:rPr>
            </w:pPr>
            <w:r w:rsidRPr="00DC031A">
              <w:rPr>
                <w:b/>
                <w:bCs/>
              </w:rPr>
              <w:t>Final Project Presentations and Report Submission</w:t>
            </w:r>
          </w:p>
        </w:tc>
      </w:tr>
    </w:tbl>
    <w:p w14:paraId="1CDFD00C" w14:textId="77777777" w:rsidR="00F15795" w:rsidRDefault="00F15795" w:rsidP="00550F37">
      <w:pPr>
        <w:spacing w:before="120" w:after="120" w:line="240" w:lineRule="exact"/>
        <w:jc w:val="both"/>
        <w:rPr>
          <w:b/>
          <w:bCs/>
        </w:rPr>
      </w:pPr>
    </w:p>
    <w:p w14:paraId="6F09DC26" w14:textId="4CB02748" w:rsidR="00487F57" w:rsidRPr="00487F57" w:rsidRDefault="00487F57" w:rsidP="00550F37">
      <w:pPr>
        <w:spacing w:before="120" w:after="120" w:line="240" w:lineRule="exact"/>
        <w:jc w:val="both"/>
        <w:rPr>
          <w:b/>
          <w:bCs/>
        </w:rPr>
      </w:pPr>
      <w:r w:rsidRPr="00487F57">
        <w:rPr>
          <w:b/>
          <w:bCs/>
        </w:rPr>
        <w:t>REQUIRED TEXTBOOKS</w:t>
      </w:r>
    </w:p>
    <w:p w14:paraId="43690792" w14:textId="05F21814" w:rsidR="00F708EA" w:rsidRDefault="008710B2" w:rsidP="00550F37">
      <w:pPr>
        <w:spacing w:before="120" w:after="120" w:line="240" w:lineRule="exact"/>
        <w:ind w:left="-90"/>
        <w:jc w:val="both"/>
      </w:pPr>
      <w:r>
        <w:t>N/A</w:t>
      </w:r>
    </w:p>
    <w:p w14:paraId="2FC90697" w14:textId="17FC76C5" w:rsidR="00487F57" w:rsidRDefault="00AF5E90" w:rsidP="00550F37">
      <w:pPr>
        <w:spacing w:before="120" w:after="120" w:line="240" w:lineRule="exact"/>
        <w:jc w:val="both"/>
        <w:rPr>
          <w:b/>
          <w:bCs/>
        </w:rPr>
      </w:pPr>
      <w:r>
        <w:rPr>
          <w:b/>
          <w:bCs/>
        </w:rPr>
        <w:t>RECOMMENDED BOOKS</w:t>
      </w:r>
    </w:p>
    <w:p w14:paraId="018F76C0" w14:textId="77777777" w:rsidR="00027FDE" w:rsidRDefault="00027FDE" w:rsidP="00550F37">
      <w:pPr>
        <w:numPr>
          <w:ilvl w:val="0"/>
          <w:numId w:val="9"/>
        </w:numPr>
        <w:spacing w:before="120" w:after="120" w:line="240" w:lineRule="exact"/>
        <w:jc w:val="both"/>
      </w:pPr>
      <w:r w:rsidRPr="00027FDE">
        <w:rPr>
          <w:b/>
          <w:bCs/>
        </w:rPr>
        <w:t>"Construction Safety and Health Management" by Ray Elliot</w:t>
      </w:r>
      <w:r w:rsidRPr="00027FDE">
        <w:t>: This book offers a comprehensive view of safety management in construction, discussing both basic principles and more advanced topics.</w:t>
      </w:r>
    </w:p>
    <w:p w14:paraId="1A913182" w14:textId="16E6AC88" w:rsidR="00027FDE" w:rsidRPr="00027FDE" w:rsidRDefault="00027FDE" w:rsidP="00550F37">
      <w:pPr>
        <w:numPr>
          <w:ilvl w:val="0"/>
          <w:numId w:val="9"/>
        </w:numPr>
        <w:spacing w:before="120" w:after="120" w:line="240" w:lineRule="exact"/>
        <w:jc w:val="both"/>
      </w:pPr>
      <w:r>
        <w:rPr>
          <w:b/>
          <w:bCs/>
        </w:rPr>
        <w:t>“</w:t>
      </w:r>
      <w:r w:rsidRPr="00027FDE">
        <w:rPr>
          <w:b/>
          <w:bCs/>
        </w:rPr>
        <w:t xml:space="preserve">Construction Safety" by </w:t>
      </w:r>
      <w:r>
        <w:rPr>
          <w:b/>
          <w:bCs/>
        </w:rPr>
        <w:t>J</w:t>
      </w:r>
      <w:r w:rsidRPr="00027FDE">
        <w:rPr>
          <w:b/>
          <w:bCs/>
        </w:rPr>
        <w:t xml:space="preserve">immie </w:t>
      </w:r>
      <w:r>
        <w:rPr>
          <w:b/>
          <w:bCs/>
        </w:rPr>
        <w:t>H</w:t>
      </w:r>
      <w:r w:rsidRPr="00027FDE">
        <w:rPr>
          <w:b/>
          <w:bCs/>
        </w:rPr>
        <w:t>inze</w:t>
      </w:r>
      <w:r>
        <w:rPr>
          <w:b/>
          <w:bCs/>
        </w:rPr>
        <w:t>:</w:t>
      </w:r>
      <w:r w:rsidRPr="00027FDE">
        <w:rPr>
          <w:b/>
          <w:bCs/>
        </w:rPr>
        <w:t xml:space="preserve"> </w:t>
      </w:r>
      <w:r>
        <w:t>This book</w:t>
      </w:r>
      <w:r w:rsidRPr="00027FDE">
        <w:t xml:space="preserve"> incorporat</w:t>
      </w:r>
      <w:r>
        <w:t>es Dr. Hinze’s</w:t>
      </w:r>
      <w:r w:rsidRPr="00027FDE">
        <w:t xml:space="preserve"> research conducted over the past 25 years and covering topics such as accident causation theories, contract provisions addressing safety, and the roles of project coordination and of designers.</w:t>
      </w:r>
    </w:p>
    <w:p w14:paraId="77CB5ABF" w14:textId="77777777" w:rsidR="00027FDE" w:rsidRPr="00027FDE" w:rsidRDefault="00027FDE" w:rsidP="00550F37">
      <w:pPr>
        <w:numPr>
          <w:ilvl w:val="0"/>
          <w:numId w:val="9"/>
        </w:numPr>
        <w:spacing w:before="120" w:after="120" w:line="240" w:lineRule="exact"/>
        <w:jc w:val="both"/>
      </w:pPr>
      <w:r w:rsidRPr="00027FDE">
        <w:rPr>
          <w:b/>
          <w:bCs/>
        </w:rPr>
        <w:lastRenderedPageBreak/>
        <w:t>"Safety, Health, and Environmental Concepts for the Process Industry" by Michael Speegle</w:t>
      </w:r>
      <w:r w:rsidRPr="00027FDE">
        <w:t>: While focused on the process industry, this book provides valuable insights into safety and health management that are applicable to construction.</w:t>
      </w:r>
    </w:p>
    <w:p w14:paraId="4F6537AA" w14:textId="77777777" w:rsidR="00027FDE" w:rsidRPr="00027FDE" w:rsidRDefault="00027FDE" w:rsidP="00550F37">
      <w:pPr>
        <w:numPr>
          <w:ilvl w:val="0"/>
          <w:numId w:val="9"/>
        </w:numPr>
        <w:spacing w:before="120" w:after="120" w:line="240" w:lineRule="exact"/>
        <w:jc w:val="both"/>
      </w:pPr>
      <w:r w:rsidRPr="00027FDE">
        <w:rPr>
          <w:b/>
          <w:bCs/>
        </w:rPr>
        <w:t>"Occupational Safety and Health in the Construction Industry" by Charles D. Reese</w:t>
      </w:r>
      <w:r w:rsidRPr="00027FDE">
        <w:t>: This text delves into the unique challenges and hazards of the construction industry, offering strategies for effective safety management.</w:t>
      </w:r>
    </w:p>
    <w:p w14:paraId="791557E3" w14:textId="77777777" w:rsidR="00027FDE" w:rsidRPr="00027FDE" w:rsidRDefault="00027FDE" w:rsidP="00550F37">
      <w:pPr>
        <w:numPr>
          <w:ilvl w:val="0"/>
          <w:numId w:val="9"/>
        </w:numPr>
        <w:spacing w:before="120" w:after="120" w:line="240" w:lineRule="exact"/>
        <w:jc w:val="both"/>
      </w:pPr>
      <w:r w:rsidRPr="00027FDE">
        <w:rPr>
          <w:b/>
          <w:bCs/>
        </w:rPr>
        <w:t>"Construction Safety Engineering Principles: Designing and Managing Safer Job Sites" by David V. MacCollum</w:t>
      </w:r>
      <w:r w:rsidRPr="00027FDE">
        <w:t>: This book specifically addresses the concept of Prevention through Design (PtD) in construction safety.</w:t>
      </w:r>
    </w:p>
    <w:p w14:paraId="42D98538" w14:textId="77777777" w:rsidR="00027FDE" w:rsidRPr="00027FDE" w:rsidRDefault="00027FDE" w:rsidP="00550F37">
      <w:pPr>
        <w:numPr>
          <w:ilvl w:val="0"/>
          <w:numId w:val="9"/>
        </w:numPr>
        <w:spacing w:before="120" w:after="120" w:line="240" w:lineRule="exact"/>
        <w:jc w:val="both"/>
      </w:pPr>
      <w:r w:rsidRPr="00027FDE">
        <w:rPr>
          <w:b/>
          <w:bCs/>
        </w:rPr>
        <w:t>"Human Factors in Project Management: Concepts, Tools, and Techniques for Inspiring Teamwork and Motivation" by Zachary Wong</w:t>
      </w:r>
      <w:r w:rsidRPr="00027FDE">
        <w:t>: Although broader than just safety, this book can help in understanding the human factors and team dynamics in construction projects.</w:t>
      </w:r>
    </w:p>
    <w:p w14:paraId="6616E579" w14:textId="345C9CEF" w:rsidR="00027FDE" w:rsidRPr="00027FDE" w:rsidRDefault="00027FDE" w:rsidP="00550F37">
      <w:pPr>
        <w:numPr>
          <w:ilvl w:val="0"/>
          <w:numId w:val="9"/>
        </w:numPr>
        <w:spacing w:before="120" w:after="120" w:line="240" w:lineRule="exact"/>
        <w:jc w:val="both"/>
      </w:pPr>
      <w:r w:rsidRPr="00027FDE">
        <w:rPr>
          <w:b/>
          <w:bCs/>
        </w:rPr>
        <w:t>"Construction Safety Handbook: A Practical Guide to OSHA Compliance and Injury Prevention" by Mark McGuire Moran</w:t>
      </w:r>
      <w:r w:rsidRPr="00027FDE">
        <w:t>: A useful reference for understanding OSHA regulations and how to implement them in construction projects</w:t>
      </w:r>
      <w:r w:rsidR="00A32BFD">
        <w:t>.</w:t>
      </w:r>
    </w:p>
    <w:p w14:paraId="0A02869E" w14:textId="70C0717E" w:rsidR="00F708EA" w:rsidRDefault="00F708EA" w:rsidP="00550F37">
      <w:pPr>
        <w:spacing w:before="120" w:after="120" w:line="240" w:lineRule="exact"/>
        <w:jc w:val="both"/>
      </w:pPr>
      <w:r w:rsidRPr="00F708EA">
        <w:rPr>
          <w:b/>
          <w:bCs/>
        </w:rPr>
        <w:t>HOMEWORK POLICY:</w:t>
      </w:r>
      <w:r>
        <w:t xml:space="preserve"> Assignments will be accepted up to the established time. Any Assignment turned in after the deadline will be graded at 50% of the original credit. Any assignment turned in more than 48 hours late will not be accepted, and the student will receive a 0 (zero) on the assignment. All work turned in for this course is expected to be of professional quality in content and presentation.</w:t>
      </w:r>
    </w:p>
    <w:p w14:paraId="1DF3219C" w14:textId="77777777" w:rsidR="00F708EA" w:rsidRPr="00F708EA" w:rsidRDefault="00F708EA" w:rsidP="00550F37">
      <w:pPr>
        <w:spacing w:before="120" w:after="120" w:line="240" w:lineRule="exact"/>
        <w:jc w:val="both"/>
        <w:rPr>
          <w:b/>
          <w:bCs/>
        </w:rPr>
      </w:pPr>
      <w:r w:rsidRPr="00F708EA">
        <w:rPr>
          <w:b/>
          <w:bCs/>
        </w:rPr>
        <w:t>COURSE GRADING:</w:t>
      </w:r>
    </w:p>
    <w:p w14:paraId="135D18B8" w14:textId="562795EA" w:rsidR="00F708EA" w:rsidRDefault="00A32BFD" w:rsidP="00550F37">
      <w:pPr>
        <w:ind w:left="1980"/>
        <w:jc w:val="both"/>
      </w:pPr>
      <w:r>
        <w:t>Safety Moment</w:t>
      </w:r>
      <w:r w:rsidR="00F708EA">
        <w:tab/>
      </w:r>
      <w:r w:rsidR="00F708EA">
        <w:tab/>
      </w:r>
      <w:r w:rsidR="00F708EA">
        <w:tab/>
      </w:r>
      <w:r w:rsidR="00967E33">
        <w:t>05</w:t>
      </w:r>
      <w:r w:rsidR="00F708EA">
        <w:t>%</w:t>
      </w:r>
    </w:p>
    <w:p w14:paraId="094C7F6A" w14:textId="012E321C" w:rsidR="00967E33" w:rsidRDefault="00967E33" w:rsidP="00550F37">
      <w:pPr>
        <w:ind w:left="1980"/>
        <w:jc w:val="both"/>
      </w:pPr>
      <w:r>
        <w:t>Quizzes (4-5 Quizzes)</w:t>
      </w:r>
      <w:r>
        <w:tab/>
      </w:r>
      <w:r>
        <w:tab/>
        <w:t>20%</w:t>
      </w:r>
    </w:p>
    <w:p w14:paraId="758A0369" w14:textId="4822C8BA" w:rsidR="00F708EA" w:rsidRDefault="00967E33" w:rsidP="00550F37">
      <w:pPr>
        <w:ind w:left="1980"/>
        <w:jc w:val="both"/>
      </w:pPr>
      <w:r>
        <w:t>Reading Assignments</w:t>
      </w:r>
      <w:r w:rsidR="00A32BFD">
        <w:tab/>
      </w:r>
      <w:r w:rsidR="00A32BFD">
        <w:tab/>
      </w:r>
      <w:r>
        <w:t>10</w:t>
      </w:r>
      <w:r w:rsidR="00F708EA">
        <w:t>%</w:t>
      </w:r>
    </w:p>
    <w:p w14:paraId="3867C5D1" w14:textId="3E822D92" w:rsidR="00967E33" w:rsidRDefault="00967E33" w:rsidP="00550F37">
      <w:pPr>
        <w:ind w:left="1980"/>
        <w:jc w:val="both"/>
      </w:pPr>
      <w:r>
        <w:t>Final Exam</w:t>
      </w:r>
      <w:r>
        <w:tab/>
      </w:r>
      <w:r>
        <w:tab/>
      </w:r>
      <w:r>
        <w:tab/>
        <w:t>25%</w:t>
      </w:r>
    </w:p>
    <w:p w14:paraId="4AB1D8AB" w14:textId="76A3B46B" w:rsidR="00F708EA" w:rsidRDefault="00A32BFD" w:rsidP="00550F37">
      <w:pPr>
        <w:ind w:left="1980"/>
        <w:jc w:val="both"/>
      </w:pPr>
      <w:r>
        <w:t>Project</w:t>
      </w:r>
      <w:r>
        <w:tab/>
      </w:r>
      <w:r>
        <w:tab/>
      </w:r>
      <w:r>
        <w:tab/>
      </w:r>
      <w:r w:rsidR="00F708EA">
        <w:tab/>
      </w:r>
      <w:r w:rsidR="00967E33">
        <w:t>25</w:t>
      </w:r>
      <w:r w:rsidR="00F708EA">
        <w:t>%</w:t>
      </w:r>
    </w:p>
    <w:p w14:paraId="23D1E5F9" w14:textId="55CEAD69" w:rsidR="00F708EA" w:rsidRDefault="00F708EA" w:rsidP="00550F37">
      <w:pPr>
        <w:ind w:left="1980"/>
        <w:jc w:val="both"/>
      </w:pPr>
      <w:r>
        <w:t>In-class exercises/Discussions</w:t>
      </w:r>
      <w:r>
        <w:tab/>
      </w:r>
      <w:r w:rsidR="00967E33">
        <w:t>15</w:t>
      </w:r>
      <w:r>
        <w:t>%</w:t>
      </w:r>
    </w:p>
    <w:p w14:paraId="467050BB" w14:textId="132ABA59" w:rsidR="00F708EA" w:rsidRPr="00F708EA" w:rsidRDefault="00F708EA" w:rsidP="00550F37">
      <w:pPr>
        <w:ind w:left="1980"/>
        <w:jc w:val="both"/>
        <w:rPr>
          <w:b/>
          <w:bCs/>
          <w:u w:val="single"/>
        </w:rPr>
      </w:pPr>
      <w:r w:rsidRPr="00F708EA">
        <w:rPr>
          <w:b/>
          <w:bCs/>
          <w:u w:val="single"/>
        </w:rPr>
        <w:t xml:space="preserve">Total                                          </w:t>
      </w:r>
      <w:r>
        <w:rPr>
          <w:b/>
          <w:bCs/>
          <w:u w:val="single"/>
        </w:rPr>
        <w:tab/>
      </w:r>
      <w:r w:rsidRPr="00F708EA">
        <w:rPr>
          <w:b/>
          <w:bCs/>
          <w:u w:val="single"/>
        </w:rPr>
        <w:t>100%</w:t>
      </w:r>
    </w:p>
    <w:p w14:paraId="6E5DEDA1" w14:textId="77777777" w:rsidR="00F708EA" w:rsidRDefault="00F708EA" w:rsidP="00550F37">
      <w:pPr>
        <w:ind w:left="1980"/>
        <w:jc w:val="both"/>
        <w:rPr>
          <w:b/>
        </w:rPr>
      </w:pPr>
    </w:p>
    <w:p w14:paraId="332D476D" w14:textId="186B7B17" w:rsidR="00F708EA" w:rsidRPr="00EF0CD4" w:rsidRDefault="00F708EA" w:rsidP="00550F37">
      <w:pPr>
        <w:spacing w:before="120" w:after="120" w:line="240" w:lineRule="exact"/>
        <w:jc w:val="both"/>
      </w:pPr>
      <w:r w:rsidRPr="00EF0CD4">
        <w:rPr>
          <w:b/>
        </w:rPr>
        <w:t xml:space="preserve">Grade Scale: </w:t>
      </w:r>
      <w:r w:rsidRPr="00EF0CD4">
        <w:rPr>
          <w:b/>
        </w:rPr>
        <w:tab/>
      </w:r>
      <w:r w:rsidRPr="00EF0CD4">
        <w:t xml:space="preserve">Grades will be given according to the following scale. </w:t>
      </w:r>
    </w:p>
    <w:tbl>
      <w:tblPr>
        <w:tblStyle w:val="TableGrid0"/>
        <w:tblW w:w="7390" w:type="dxa"/>
        <w:tblInd w:w="1165" w:type="dxa"/>
        <w:tblCellMar>
          <w:top w:w="7" w:type="dxa"/>
          <w:left w:w="106" w:type="dxa"/>
          <w:right w:w="115" w:type="dxa"/>
        </w:tblCellMar>
        <w:tblLook w:val="04A0" w:firstRow="1" w:lastRow="0" w:firstColumn="1" w:lastColumn="0" w:noHBand="0" w:noVBand="1"/>
      </w:tblPr>
      <w:tblGrid>
        <w:gridCol w:w="1936"/>
        <w:gridCol w:w="1876"/>
        <w:gridCol w:w="1789"/>
        <w:gridCol w:w="1789"/>
      </w:tblGrid>
      <w:tr w:rsidR="00550F37" w:rsidRPr="00EF0CD4" w14:paraId="26681B00" w14:textId="77718358" w:rsidTr="00550F37">
        <w:trPr>
          <w:trHeight w:val="264"/>
        </w:trPr>
        <w:tc>
          <w:tcPr>
            <w:tcW w:w="1936" w:type="dxa"/>
            <w:tcBorders>
              <w:top w:val="single" w:sz="4" w:space="0" w:color="000000"/>
              <w:left w:val="single" w:sz="4" w:space="0" w:color="000000"/>
              <w:bottom w:val="single" w:sz="4" w:space="0" w:color="000000"/>
              <w:right w:val="single" w:sz="4" w:space="0" w:color="000000"/>
            </w:tcBorders>
          </w:tcPr>
          <w:p w14:paraId="6B19FA6F" w14:textId="77777777" w:rsidR="00550F37" w:rsidRPr="00EF0CD4" w:rsidRDefault="00550F37" w:rsidP="00550F37">
            <w:pPr>
              <w:jc w:val="both"/>
              <w:rPr>
                <w:rFonts w:eastAsia="Calibri"/>
                <w:color w:val="000000"/>
              </w:rPr>
            </w:pPr>
            <w:r w:rsidRPr="00EF0CD4">
              <w:rPr>
                <w:b/>
                <w:color w:val="000000"/>
              </w:rPr>
              <w:t>Letter Grade</w:t>
            </w:r>
            <w:r w:rsidRPr="00EF0CD4">
              <w:rPr>
                <w:color w:val="00000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5EA977DC" w14:textId="77777777" w:rsidR="00550F37" w:rsidRPr="00EF0CD4" w:rsidRDefault="00550F37" w:rsidP="00550F37">
            <w:pPr>
              <w:ind w:left="2"/>
              <w:jc w:val="both"/>
              <w:rPr>
                <w:rFonts w:eastAsia="Calibri"/>
                <w:color w:val="000000"/>
              </w:rPr>
            </w:pPr>
            <w:r w:rsidRPr="00EF0CD4">
              <w:rPr>
                <w:b/>
                <w:color w:val="000000"/>
              </w:rPr>
              <w:t>Numeric Grade</w:t>
            </w:r>
            <w:r w:rsidRPr="00EF0CD4">
              <w:rPr>
                <w:color w:val="000000"/>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0ED6F29E" w14:textId="5C799F0F" w:rsidR="00550F37" w:rsidRPr="00EF0CD4" w:rsidRDefault="00550F37" w:rsidP="00550F37">
            <w:pPr>
              <w:ind w:left="2"/>
              <w:jc w:val="both"/>
              <w:rPr>
                <w:b/>
                <w:color w:val="000000"/>
              </w:rPr>
            </w:pPr>
            <w:r w:rsidRPr="00EF0CD4">
              <w:rPr>
                <w:b/>
                <w:color w:val="000000"/>
              </w:rPr>
              <w:t>Letter Grade</w:t>
            </w:r>
            <w:r w:rsidRPr="00EF0CD4">
              <w:rPr>
                <w:color w:val="000000"/>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8C8CC91" w14:textId="40D7F397" w:rsidR="00550F37" w:rsidRPr="00EF0CD4" w:rsidRDefault="00550F37" w:rsidP="00550F37">
            <w:pPr>
              <w:ind w:left="2"/>
              <w:jc w:val="both"/>
              <w:rPr>
                <w:b/>
                <w:color w:val="000000"/>
              </w:rPr>
            </w:pPr>
            <w:r w:rsidRPr="00EF0CD4">
              <w:rPr>
                <w:b/>
                <w:color w:val="000000"/>
              </w:rPr>
              <w:t>Numeric Grade</w:t>
            </w:r>
            <w:r w:rsidRPr="00EF0CD4">
              <w:rPr>
                <w:color w:val="000000"/>
              </w:rPr>
              <w:t xml:space="preserve"> </w:t>
            </w:r>
          </w:p>
        </w:tc>
      </w:tr>
      <w:tr w:rsidR="00550F37" w:rsidRPr="00EF0CD4" w14:paraId="7B8A59EF" w14:textId="2A5CAB6C" w:rsidTr="00550F37">
        <w:trPr>
          <w:trHeight w:val="262"/>
        </w:trPr>
        <w:tc>
          <w:tcPr>
            <w:tcW w:w="1936" w:type="dxa"/>
            <w:tcBorders>
              <w:top w:val="single" w:sz="4" w:space="0" w:color="000000"/>
              <w:left w:val="single" w:sz="4" w:space="0" w:color="000000"/>
              <w:bottom w:val="single" w:sz="4" w:space="0" w:color="000000"/>
              <w:right w:val="single" w:sz="4" w:space="0" w:color="000000"/>
            </w:tcBorders>
          </w:tcPr>
          <w:p w14:paraId="02E08DF2" w14:textId="77777777" w:rsidR="00550F37" w:rsidRPr="00EF0CD4" w:rsidRDefault="00550F37" w:rsidP="00550F37">
            <w:pPr>
              <w:jc w:val="both"/>
              <w:rPr>
                <w:rFonts w:eastAsia="Calibri"/>
                <w:color w:val="000000"/>
              </w:rPr>
            </w:pPr>
            <w:r w:rsidRPr="00EF0CD4">
              <w:rPr>
                <w:color w:val="000000"/>
              </w:rPr>
              <w:t xml:space="preserve">A </w:t>
            </w:r>
          </w:p>
        </w:tc>
        <w:tc>
          <w:tcPr>
            <w:tcW w:w="1876" w:type="dxa"/>
            <w:tcBorders>
              <w:top w:val="single" w:sz="4" w:space="0" w:color="000000"/>
              <w:left w:val="single" w:sz="4" w:space="0" w:color="000000"/>
              <w:bottom w:val="single" w:sz="4" w:space="0" w:color="000000"/>
              <w:right w:val="single" w:sz="4" w:space="0" w:color="000000"/>
            </w:tcBorders>
          </w:tcPr>
          <w:p w14:paraId="7BB22034"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93 </w:t>
            </w:r>
          </w:p>
        </w:tc>
        <w:tc>
          <w:tcPr>
            <w:tcW w:w="1789" w:type="dxa"/>
            <w:tcBorders>
              <w:top w:val="single" w:sz="4" w:space="0" w:color="000000"/>
              <w:left w:val="single" w:sz="4" w:space="0" w:color="000000"/>
              <w:bottom w:val="single" w:sz="4" w:space="0" w:color="000000"/>
              <w:right w:val="single" w:sz="4" w:space="0" w:color="000000"/>
            </w:tcBorders>
          </w:tcPr>
          <w:p w14:paraId="434CC276" w14:textId="771E90E6" w:rsidR="00550F37" w:rsidRPr="00EF0CD4" w:rsidRDefault="00550F37" w:rsidP="00550F37">
            <w:pPr>
              <w:ind w:left="2"/>
              <w:jc w:val="both"/>
              <w:rPr>
                <w:color w:val="222222"/>
              </w:rPr>
            </w:pPr>
            <w:r w:rsidRPr="00EF0CD4">
              <w:rPr>
                <w:color w:val="000000"/>
              </w:rPr>
              <w:t xml:space="preserve">C </w:t>
            </w:r>
          </w:p>
        </w:tc>
        <w:tc>
          <w:tcPr>
            <w:tcW w:w="1789" w:type="dxa"/>
            <w:tcBorders>
              <w:top w:val="single" w:sz="4" w:space="0" w:color="000000"/>
              <w:left w:val="single" w:sz="4" w:space="0" w:color="000000"/>
              <w:bottom w:val="single" w:sz="4" w:space="0" w:color="000000"/>
              <w:right w:val="single" w:sz="4" w:space="0" w:color="000000"/>
            </w:tcBorders>
          </w:tcPr>
          <w:p w14:paraId="4029126B" w14:textId="6AA9B732" w:rsidR="00550F37" w:rsidRPr="00EF0CD4" w:rsidRDefault="00550F37" w:rsidP="00550F37">
            <w:pPr>
              <w:ind w:left="2"/>
              <w:jc w:val="both"/>
              <w:rPr>
                <w:color w:val="222222"/>
              </w:rPr>
            </w:pPr>
            <w:r w:rsidRPr="00EF0CD4">
              <w:rPr>
                <w:color w:val="222222"/>
              </w:rPr>
              <w:t xml:space="preserve">≥ </w:t>
            </w:r>
            <w:r w:rsidRPr="00EF0CD4">
              <w:rPr>
                <w:color w:val="000000"/>
              </w:rPr>
              <w:t xml:space="preserve">73 AND &lt; 77 </w:t>
            </w:r>
          </w:p>
        </w:tc>
      </w:tr>
      <w:tr w:rsidR="00550F37" w:rsidRPr="00EF0CD4" w14:paraId="01CA9AD6" w14:textId="02B477F4" w:rsidTr="00550F37">
        <w:trPr>
          <w:trHeight w:val="264"/>
        </w:trPr>
        <w:tc>
          <w:tcPr>
            <w:tcW w:w="1936" w:type="dxa"/>
            <w:tcBorders>
              <w:top w:val="single" w:sz="4" w:space="0" w:color="000000"/>
              <w:left w:val="single" w:sz="4" w:space="0" w:color="000000"/>
              <w:bottom w:val="single" w:sz="4" w:space="0" w:color="000000"/>
              <w:right w:val="single" w:sz="4" w:space="0" w:color="000000"/>
            </w:tcBorders>
          </w:tcPr>
          <w:p w14:paraId="05A91E17" w14:textId="77777777" w:rsidR="00550F37" w:rsidRPr="00EF0CD4" w:rsidRDefault="00550F37" w:rsidP="00550F37">
            <w:pPr>
              <w:jc w:val="both"/>
              <w:rPr>
                <w:rFonts w:eastAsia="Calibri"/>
                <w:color w:val="000000"/>
              </w:rPr>
            </w:pPr>
            <w:r w:rsidRPr="00EF0CD4">
              <w:rPr>
                <w:color w:val="000000"/>
              </w:rPr>
              <w:t xml:space="preserve">A- </w:t>
            </w:r>
          </w:p>
        </w:tc>
        <w:tc>
          <w:tcPr>
            <w:tcW w:w="1876" w:type="dxa"/>
            <w:tcBorders>
              <w:top w:val="single" w:sz="4" w:space="0" w:color="000000"/>
              <w:left w:val="single" w:sz="4" w:space="0" w:color="000000"/>
              <w:bottom w:val="single" w:sz="4" w:space="0" w:color="000000"/>
              <w:right w:val="single" w:sz="4" w:space="0" w:color="000000"/>
            </w:tcBorders>
          </w:tcPr>
          <w:p w14:paraId="43F3FA00"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90 AND &lt; 93 </w:t>
            </w:r>
          </w:p>
        </w:tc>
        <w:tc>
          <w:tcPr>
            <w:tcW w:w="1789" w:type="dxa"/>
            <w:tcBorders>
              <w:top w:val="single" w:sz="4" w:space="0" w:color="000000"/>
              <w:left w:val="single" w:sz="4" w:space="0" w:color="000000"/>
              <w:bottom w:val="single" w:sz="4" w:space="0" w:color="000000"/>
              <w:right w:val="single" w:sz="4" w:space="0" w:color="000000"/>
            </w:tcBorders>
          </w:tcPr>
          <w:p w14:paraId="3D01F608" w14:textId="0BE5EBE2" w:rsidR="00550F37" w:rsidRPr="00EF0CD4" w:rsidRDefault="00550F37" w:rsidP="00550F37">
            <w:pPr>
              <w:ind w:left="2"/>
              <w:jc w:val="both"/>
              <w:rPr>
                <w:color w:val="222222"/>
              </w:rPr>
            </w:pPr>
            <w:r w:rsidRPr="00EF0CD4">
              <w:rPr>
                <w:color w:val="000000"/>
              </w:rPr>
              <w:t xml:space="preserve">C- </w:t>
            </w:r>
          </w:p>
        </w:tc>
        <w:tc>
          <w:tcPr>
            <w:tcW w:w="1789" w:type="dxa"/>
            <w:tcBorders>
              <w:top w:val="single" w:sz="4" w:space="0" w:color="000000"/>
              <w:left w:val="single" w:sz="4" w:space="0" w:color="000000"/>
              <w:bottom w:val="single" w:sz="4" w:space="0" w:color="000000"/>
              <w:right w:val="single" w:sz="4" w:space="0" w:color="000000"/>
            </w:tcBorders>
          </w:tcPr>
          <w:p w14:paraId="606A8063" w14:textId="0E96F41A" w:rsidR="00550F37" w:rsidRPr="00EF0CD4" w:rsidRDefault="00550F37" w:rsidP="00550F37">
            <w:pPr>
              <w:ind w:left="2"/>
              <w:jc w:val="both"/>
              <w:rPr>
                <w:color w:val="222222"/>
              </w:rPr>
            </w:pPr>
            <w:r w:rsidRPr="00EF0CD4">
              <w:rPr>
                <w:color w:val="222222"/>
              </w:rPr>
              <w:t xml:space="preserve">≥ </w:t>
            </w:r>
            <w:r w:rsidRPr="00EF0CD4">
              <w:rPr>
                <w:color w:val="000000"/>
              </w:rPr>
              <w:t xml:space="preserve">70 AND &lt; 73 </w:t>
            </w:r>
          </w:p>
        </w:tc>
      </w:tr>
      <w:tr w:rsidR="00550F37" w:rsidRPr="00EF0CD4" w14:paraId="7EEC87C5" w14:textId="70CC515F" w:rsidTr="00550F37">
        <w:trPr>
          <w:trHeight w:val="264"/>
        </w:trPr>
        <w:tc>
          <w:tcPr>
            <w:tcW w:w="1936" w:type="dxa"/>
            <w:tcBorders>
              <w:top w:val="single" w:sz="4" w:space="0" w:color="000000"/>
              <w:left w:val="single" w:sz="4" w:space="0" w:color="000000"/>
              <w:bottom w:val="single" w:sz="4" w:space="0" w:color="000000"/>
              <w:right w:val="single" w:sz="4" w:space="0" w:color="000000"/>
            </w:tcBorders>
          </w:tcPr>
          <w:p w14:paraId="54A2A622" w14:textId="77777777" w:rsidR="00550F37" w:rsidRPr="00EF0CD4" w:rsidRDefault="00550F37" w:rsidP="00550F37">
            <w:pPr>
              <w:jc w:val="both"/>
              <w:rPr>
                <w:rFonts w:eastAsia="Calibri"/>
                <w:color w:val="000000"/>
              </w:rPr>
            </w:pPr>
            <w:r w:rsidRPr="00EF0CD4">
              <w:rPr>
                <w:color w:val="000000"/>
              </w:rPr>
              <w:t xml:space="preserve">B+ </w:t>
            </w:r>
          </w:p>
        </w:tc>
        <w:tc>
          <w:tcPr>
            <w:tcW w:w="1876" w:type="dxa"/>
            <w:tcBorders>
              <w:top w:val="single" w:sz="4" w:space="0" w:color="000000"/>
              <w:left w:val="single" w:sz="4" w:space="0" w:color="000000"/>
              <w:bottom w:val="single" w:sz="4" w:space="0" w:color="000000"/>
              <w:right w:val="single" w:sz="4" w:space="0" w:color="000000"/>
            </w:tcBorders>
          </w:tcPr>
          <w:p w14:paraId="7ECC4E80"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87 AND &lt; 90 </w:t>
            </w:r>
          </w:p>
        </w:tc>
        <w:tc>
          <w:tcPr>
            <w:tcW w:w="1789" w:type="dxa"/>
            <w:tcBorders>
              <w:top w:val="single" w:sz="4" w:space="0" w:color="000000"/>
              <w:left w:val="single" w:sz="4" w:space="0" w:color="000000"/>
              <w:bottom w:val="single" w:sz="4" w:space="0" w:color="000000"/>
              <w:right w:val="single" w:sz="4" w:space="0" w:color="000000"/>
            </w:tcBorders>
          </w:tcPr>
          <w:p w14:paraId="67090082" w14:textId="501F495C" w:rsidR="00550F37" w:rsidRPr="00EF0CD4" w:rsidRDefault="00550F37" w:rsidP="00550F37">
            <w:pPr>
              <w:ind w:left="2"/>
              <w:jc w:val="both"/>
              <w:rPr>
                <w:color w:val="222222"/>
              </w:rPr>
            </w:pPr>
            <w:r w:rsidRPr="00EF0CD4">
              <w:rPr>
                <w:color w:val="000000"/>
              </w:rPr>
              <w:t xml:space="preserve">D+ </w:t>
            </w:r>
          </w:p>
        </w:tc>
        <w:tc>
          <w:tcPr>
            <w:tcW w:w="1789" w:type="dxa"/>
            <w:tcBorders>
              <w:top w:val="single" w:sz="4" w:space="0" w:color="000000"/>
              <w:left w:val="single" w:sz="4" w:space="0" w:color="000000"/>
              <w:bottom w:val="single" w:sz="4" w:space="0" w:color="000000"/>
              <w:right w:val="single" w:sz="4" w:space="0" w:color="000000"/>
            </w:tcBorders>
          </w:tcPr>
          <w:p w14:paraId="695AA092" w14:textId="5B4E25F0" w:rsidR="00550F37" w:rsidRPr="00EF0CD4" w:rsidRDefault="00550F37" w:rsidP="00550F37">
            <w:pPr>
              <w:ind w:left="2"/>
              <w:jc w:val="both"/>
              <w:rPr>
                <w:color w:val="222222"/>
              </w:rPr>
            </w:pPr>
            <w:r w:rsidRPr="00EF0CD4">
              <w:rPr>
                <w:color w:val="222222"/>
              </w:rPr>
              <w:t xml:space="preserve">≥ </w:t>
            </w:r>
            <w:r w:rsidRPr="00EF0CD4">
              <w:rPr>
                <w:color w:val="000000"/>
              </w:rPr>
              <w:t xml:space="preserve">67 AND &lt; 70 </w:t>
            </w:r>
          </w:p>
        </w:tc>
      </w:tr>
      <w:tr w:rsidR="00550F37" w:rsidRPr="00EF0CD4" w14:paraId="70102B4C" w14:textId="54CEF301" w:rsidTr="00550F37">
        <w:trPr>
          <w:trHeight w:val="262"/>
        </w:trPr>
        <w:tc>
          <w:tcPr>
            <w:tcW w:w="1936" w:type="dxa"/>
            <w:tcBorders>
              <w:top w:val="single" w:sz="4" w:space="0" w:color="000000"/>
              <w:left w:val="single" w:sz="4" w:space="0" w:color="000000"/>
              <w:bottom w:val="single" w:sz="4" w:space="0" w:color="000000"/>
              <w:right w:val="single" w:sz="4" w:space="0" w:color="000000"/>
            </w:tcBorders>
          </w:tcPr>
          <w:p w14:paraId="532199C2" w14:textId="77777777" w:rsidR="00550F37" w:rsidRPr="00EF0CD4" w:rsidRDefault="00550F37" w:rsidP="00550F37">
            <w:pPr>
              <w:jc w:val="both"/>
              <w:rPr>
                <w:rFonts w:eastAsia="Calibri"/>
                <w:color w:val="000000"/>
              </w:rPr>
            </w:pPr>
            <w:r w:rsidRPr="00EF0CD4">
              <w:rPr>
                <w:color w:val="000000"/>
              </w:rPr>
              <w:t xml:space="preserve">B </w:t>
            </w:r>
          </w:p>
        </w:tc>
        <w:tc>
          <w:tcPr>
            <w:tcW w:w="1876" w:type="dxa"/>
            <w:tcBorders>
              <w:top w:val="single" w:sz="4" w:space="0" w:color="000000"/>
              <w:left w:val="single" w:sz="4" w:space="0" w:color="000000"/>
              <w:bottom w:val="single" w:sz="4" w:space="0" w:color="000000"/>
              <w:right w:val="single" w:sz="4" w:space="0" w:color="000000"/>
            </w:tcBorders>
          </w:tcPr>
          <w:p w14:paraId="4B1497CB"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83 AND &lt; 87 </w:t>
            </w:r>
          </w:p>
        </w:tc>
        <w:tc>
          <w:tcPr>
            <w:tcW w:w="1789" w:type="dxa"/>
            <w:tcBorders>
              <w:top w:val="single" w:sz="4" w:space="0" w:color="000000"/>
              <w:left w:val="single" w:sz="4" w:space="0" w:color="000000"/>
              <w:bottom w:val="single" w:sz="4" w:space="0" w:color="000000"/>
              <w:right w:val="single" w:sz="4" w:space="0" w:color="000000"/>
            </w:tcBorders>
          </w:tcPr>
          <w:p w14:paraId="4E68F43E" w14:textId="60124805" w:rsidR="00550F37" w:rsidRPr="00EF0CD4" w:rsidRDefault="00550F37" w:rsidP="00550F37">
            <w:pPr>
              <w:ind w:left="2"/>
              <w:jc w:val="both"/>
              <w:rPr>
                <w:color w:val="222222"/>
              </w:rPr>
            </w:pPr>
            <w:r w:rsidRPr="00EF0CD4">
              <w:rPr>
                <w:color w:val="000000"/>
              </w:rPr>
              <w:t xml:space="preserve">D </w:t>
            </w:r>
          </w:p>
        </w:tc>
        <w:tc>
          <w:tcPr>
            <w:tcW w:w="1789" w:type="dxa"/>
            <w:tcBorders>
              <w:top w:val="single" w:sz="4" w:space="0" w:color="000000"/>
              <w:left w:val="single" w:sz="4" w:space="0" w:color="000000"/>
              <w:bottom w:val="single" w:sz="4" w:space="0" w:color="000000"/>
              <w:right w:val="single" w:sz="4" w:space="0" w:color="000000"/>
            </w:tcBorders>
          </w:tcPr>
          <w:p w14:paraId="224D51C5" w14:textId="3861CDDF" w:rsidR="00550F37" w:rsidRPr="00EF0CD4" w:rsidRDefault="00550F37" w:rsidP="00550F37">
            <w:pPr>
              <w:ind w:left="2"/>
              <w:jc w:val="both"/>
              <w:rPr>
                <w:color w:val="222222"/>
              </w:rPr>
            </w:pPr>
            <w:r w:rsidRPr="00EF0CD4">
              <w:rPr>
                <w:color w:val="222222"/>
              </w:rPr>
              <w:t xml:space="preserve">≥ </w:t>
            </w:r>
            <w:r w:rsidRPr="00EF0CD4">
              <w:rPr>
                <w:color w:val="000000"/>
              </w:rPr>
              <w:t xml:space="preserve">63 AND &lt; 67 </w:t>
            </w:r>
          </w:p>
        </w:tc>
      </w:tr>
      <w:tr w:rsidR="00550F37" w:rsidRPr="00EF0CD4" w14:paraId="5B38BB65" w14:textId="0B46B555" w:rsidTr="00550F37">
        <w:trPr>
          <w:trHeight w:val="264"/>
        </w:trPr>
        <w:tc>
          <w:tcPr>
            <w:tcW w:w="1936" w:type="dxa"/>
            <w:tcBorders>
              <w:top w:val="single" w:sz="4" w:space="0" w:color="000000"/>
              <w:left w:val="single" w:sz="4" w:space="0" w:color="000000"/>
              <w:bottom w:val="single" w:sz="4" w:space="0" w:color="000000"/>
              <w:right w:val="single" w:sz="4" w:space="0" w:color="000000"/>
            </w:tcBorders>
          </w:tcPr>
          <w:p w14:paraId="3759F9AC" w14:textId="77777777" w:rsidR="00550F37" w:rsidRPr="00EF0CD4" w:rsidRDefault="00550F37" w:rsidP="00550F37">
            <w:pPr>
              <w:jc w:val="both"/>
              <w:rPr>
                <w:rFonts w:eastAsia="Calibri"/>
                <w:color w:val="000000"/>
              </w:rPr>
            </w:pPr>
            <w:r w:rsidRPr="00EF0CD4">
              <w:rPr>
                <w:color w:val="000000"/>
              </w:rPr>
              <w:t xml:space="preserve">B- </w:t>
            </w:r>
          </w:p>
        </w:tc>
        <w:tc>
          <w:tcPr>
            <w:tcW w:w="1876" w:type="dxa"/>
            <w:tcBorders>
              <w:top w:val="single" w:sz="4" w:space="0" w:color="000000"/>
              <w:left w:val="single" w:sz="4" w:space="0" w:color="000000"/>
              <w:bottom w:val="single" w:sz="4" w:space="0" w:color="000000"/>
              <w:right w:val="single" w:sz="4" w:space="0" w:color="000000"/>
            </w:tcBorders>
          </w:tcPr>
          <w:p w14:paraId="11CC0717"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80 AND &lt; 83 </w:t>
            </w:r>
          </w:p>
        </w:tc>
        <w:tc>
          <w:tcPr>
            <w:tcW w:w="1789" w:type="dxa"/>
            <w:tcBorders>
              <w:top w:val="single" w:sz="4" w:space="0" w:color="000000"/>
              <w:left w:val="single" w:sz="4" w:space="0" w:color="000000"/>
              <w:bottom w:val="single" w:sz="4" w:space="0" w:color="000000"/>
              <w:right w:val="single" w:sz="4" w:space="0" w:color="000000"/>
            </w:tcBorders>
          </w:tcPr>
          <w:p w14:paraId="5511DD8F" w14:textId="1B23A6A0" w:rsidR="00550F37" w:rsidRPr="00EF0CD4" w:rsidRDefault="00550F37" w:rsidP="00550F37">
            <w:pPr>
              <w:ind w:left="2"/>
              <w:jc w:val="both"/>
              <w:rPr>
                <w:color w:val="222222"/>
              </w:rPr>
            </w:pPr>
            <w:r w:rsidRPr="00EF0CD4">
              <w:rPr>
                <w:color w:val="000000"/>
              </w:rPr>
              <w:t xml:space="preserve">D- </w:t>
            </w:r>
          </w:p>
        </w:tc>
        <w:tc>
          <w:tcPr>
            <w:tcW w:w="1789" w:type="dxa"/>
            <w:tcBorders>
              <w:top w:val="single" w:sz="4" w:space="0" w:color="000000"/>
              <w:left w:val="single" w:sz="4" w:space="0" w:color="000000"/>
              <w:bottom w:val="single" w:sz="4" w:space="0" w:color="000000"/>
              <w:right w:val="single" w:sz="4" w:space="0" w:color="000000"/>
            </w:tcBorders>
          </w:tcPr>
          <w:p w14:paraId="32A72B49" w14:textId="41BC0DF5" w:rsidR="00550F37" w:rsidRPr="00EF0CD4" w:rsidRDefault="00550F37" w:rsidP="00550F37">
            <w:pPr>
              <w:ind w:left="2"/>
              <w:jc w:val="both"/>
              <w:rPr>
                <w:color w:val="222222"/>
              </w:rPr>
            </w:pPr>
            <w:r w:rsidRPr="00EF0CD4">
              <w:rPr>
                <w:color w:val="222222"/>
              </w:rPr>
              <w:t xml:space="preserve">≥ </w:t>
            </w:r>
            <w:r w:rsidRPr="00EF0CD4">
              <w:rPr>
                <w:color w:val="000000"/>
              </w:rPr>
              <w:t xml:space="preserve">60 AND &lt; 63 </w:t>
            </w:r>
          </w:p>
        </w:tc>
      </w:tr>
      <w:tr w:rsidR="00550F37" w:rsidRPr="00EF0CD4" w14:paraId="75064459" w14:textId="52346C34" w:rsidTr="00550F37">
        <w:trPr>
          <w:trHeight w:val="262"/>
        </w:trPr>
        <w:tc>
          <w:tcPr>
            <w:tcW w:w="1936" w:type="dxa"/>
            <w:tcBorders>
              <w:top w:val="single" w:sz="4" w:space="0" w:color="000000"/>
              <w:left w:val="single" w:sz="4" w:space="0" w:color="000000"/>
              <w:bottom w:val="single" w:sz="4" w:space="0" w:color="000000"/>
              <w:right w:val="single" w:sz="4" w:space="0" w:color="000000"/>
            </w:tcBorders>
          </w:tcPr>
          <w:p w14:paraId="2A79FAD1" w14:textId="77777777" w:rsidR="00550F37" w:rsidRPr="00EF0CD4" w:rsidRDefault="00550F37" w:rsidP="00550F37">
            <w:pPr>
              <w:jc w:val="both"/>
              <w:rPr>
                <w:rFonts w:eastAsia="Calibri"/>
                <w:color w:val="000000"/>
              </w:rPr>
            </w:pPr>
            <w:r w:rsidRPr="00EF0CD4">
              <w:rPr>
                <w:color w:val="000000"/>
              </w:rPr>
              <w:t xml:space="preserve">C+ </w:t>
            </w:r>
          </w:p>
        </w:tc>
        <w:tc>
          <w:tcPr>
            <w:tcW w:w="1876" w:type="dxa"/>
            <w:tcBorders>
              <w:top w:val="single" w:sz="4" w:space="0" w:color="000000"/>
              <w:left w:val="single" w:sz="4" w:space="0" w:color="000000"/>
              <w:bottom w:val="single" w:sz="4" w:space="0" w:color="000000"/>
              <w:right w:val="single" w:sz="4" w:space="0" w:color="000000"/>
            </w:tcBorders>
          </w:tcPr>
          <w:p w14:paraId="2497F7B3" w14:textId="77777777" w:rsidR="00550F37" w:rsidRPr="00EF0CD4" w:rsidRDefault="00550F37" w:rsidP="00550F37">
            <w:pPr>
              <w:ind w:left="2"/>
              <w:jc w:val="both"/>
              <w:rPr>
                <w:rFonts w:eastAsia="Calibri"/>
                <w:color w:val="000000"/>
              </w:rPr>
            </w:pPr>
            <w:r w:rsidRPr="00EF0CD4">
              <w:rPr>
                <w:color w:val="222222"/>
              </w:rPr>
              <w:t xml:space="preserve">≥ </w:t>
            </w:r>
            <w:r w:rsidRPr="00EF0CD4">
              <w:rPr>
                <w:color w:val="000000"/>
              </w:rPr>
              <w:t xml:space="preserve">77 AND &lt; 80 </w:t>
            </w:r>
          </w:p>
        </w:tc>
        <w:tc>
          <w:tcPr>
            <w:tcW w:w="1789" w:type="dxa"/>
            <w:tcBorders>
              <w:top w:val="single" w:sz="4" w:space="0" w:color="000000"/>
              <w:left w:val="single" w:sz="4" w:space="0" w:color="000000"/>
              <w:bottom w:val="single" w:sz="4" w:space="0" w:color="000000"/>
              <w:right w:val="single" w:sz="4" w:space="0" w:color="000000"/>
            </w:tcBorders>
          </w:tcPr>
          <w:p w14:paraId="6BF3A012" w14:textId="667054EE" w:rsidR="00550F37" w:rsidRPr="00EF0CD4" w:rsidRDefault="00550F37" w:rsidP="00550F37">
            <w:pPr>
              <w:ind w:left="2"/>
              <w:jc w:val="both"/>
              <w:rPr>
                <w:color w:val="222222"/>
              </w:rPr>
            </w:pPr>
            <w:r w:rsidRPr="00EF0CD4">
              <w:rPr>
                <w:color w:val="000000"/>
              </w:rPr>
              <w:t xml:space="preserve">F </w:t>
            </w:r>
          </w:p>
        </w:tc>
        <w:tc>
          <w:tcPr>
            <w:tcW w:w="1789" w:type="dxa"/>
            <w:tcBorders>
              <w:top w:val="single" w:sz="4" w:space="0" w:color="000000"/>
              <w:left w:val="single" w:sz="4" w:space="0" w:color="000000"/>
              <w:bottom w:val="single" w:sz="4" w:space="0" w:color="000000"/>
              <w:right w:val="single" w:sz="4" w:space="0" w:color="000000"/>
            </w:tcBorders>
          </w:tcPr>
          <w:p w14:paraId="4027FB2E" w14:textId="7E7721FF" w:rsidR="00550F37" w:rsidRPr="00EF0CD4" w:rsidRDefault="00550F37" w:rsidP="00550F37">
            <w:pPr>
              <w:ind w:left="2"/>
              <w:jc w:val="both"/>
              <w:rPr>
                <w:color w:val="222222"/>
              </w:rPr>
            </w:pPr>
            <w:r w:rsidRPr="00EF0CD4">
              <w:rPr>
                <w:color w:val="222222"/>
              </w:rPr>
              <w:t>&lt;</w:t>
            </w:r>
            <w:r w:rsidRPr="00EF0CD4">
              <w:rPr>
                <w:color w:val="000000"/>
              </w:rPr>
              <w:t xml:space="preserve">60 </w:t>
            </w:r>
          </w:p>
        </w:tc>
      </w:tr>
    </w:tbl>
    <w:p w14:paraId="142BAF86" w14:textId="77777777" w:rsidR="00F708EA" w:rsidRPr="00EF0CD4" w:rsidRDefault="00F708EA" w:rsidP="00550F37">
      <w:pPr>
        <w:pStyle w:val="BodyText"/>
        <w:spacing w:before="120" w:after="120" w:line="240" w:lineRule="exact"/>
        <w:jc w:val="both"/>
        <w:rPr>
          <w:b/>
          <w:sz w:val="22"/>
          <w:szCs w:val="22"/>
        </w:rPr>
      </w:pPr>
    </w:p>
    <w:p w14:paraId="7B953A6A" w14:textId="52AB2041" w:rsidR="00F708EA" w:rsidRDefault="00F708EA" w:rsidP="00550F37">
      <w:pPr>
        <w:spacing w:before="120" w:after="120" w:line="240" w:lineRule="exact"/>
        <w:jc w:val="both"/>
      </w:pPr>
      <w:r w:rsidRPr="00EF0CD4">
        <w:rPr>
          <w:b/>
        </w:rPr>
        <w:t xml:space="preserve">UNIVERSITY POLICY ON ACCOMMODATING STUDENTS WITH DISABILITIES: </w:t>
      </w:r>
      <w:r w:rsidRPr="00EF0CD4">
        <w:t>Students</w:t>
      </w:r>
      <w:r w:rsidR="00550F37">
        <w:t xml:space="preserve"> </w:t>
      </w:r>
      <w:r w:rsidRPr="00EF0CD4">
        <w:t>requesting accommodation for disabilities must first register with the Dean of Students Office (</w:t>
      </w:r>
      <w:hyperlink r:id="rId6">
        <w:r w:rsidRPr="00EF0CD4">
          <w:rPr>
            <w:color w:val="0000FF"/>
            <w:u w:val="single" w:color="0000FF"/>
          </w:rPr>
          <w:t>http://www.dso.ufl.edu/drc/</w:t>
        </w:r>
      </w:hyperlink>
      <w:r w:rsidRPr="00EF0CD4">
        <w:t>). The Dean of Students Office will provide documentation to the student who must then provide this documentation to the instructor when requesting accommodation. You must submit this documentation prior to submitting assignments (discussion, term paper, extra credit) or taking the quizzes or exams. Accommodations are not retroactive, therefore, students should contact the office as soon as possible in the term for which they are seeking accommodations.</w:t>
      </w:r>
    </w:p>
    <w:p w14:paraId="44548850" w14:textId="2BD7A6CD" w:rsidR="00F15795" w:rsidRPr="00B359AB" w:rsidRDefault="00F15795" w:rsidP="00F15795">
      <w:pPr>
        <w:adjustRightInd w:val="0"/>
        <w:jc w:val="both"/>
        <w:rPr>
          <w:color w:val="000000"/>
        </w:rPr>
      </w:pPr>
      <w:r w:rsidRPr="00B359AB">
        <w:rPr>
          <w:b/>
          <w:bCs/>
          <w:color w:val="000000"/>
        </w:rPr>
        <w:t xml:space="preserve">IN-CLASS RECORDING </w:t>
      </w:r>
    </w:p>
    <w:p w14:paraId="79FE48CA" w14:textId="77777777" w:rsidR="00F15795" w:rsidRPr="00B359AB" w:rsidRDefault="00F15795" w:rsidP="00F15795">
      <w:pPr>
        <w:adjustRightInd w:val="0"/>
        <w:jc w:val="both"/>
        <w:rPr>
          <w:color w:val="000000"/>
        </w:rPr>
      </w:pPr>
      <w:r w:rsidRPr="00B359AB">
        <w:rPr>
          <w:color w:val="000000"/>
        </w:rPr>
        <w:t xml:space="preserve">Students are allowed to record video or audio of class lectures. However, the purposes for which these </w:t>
      </w:r>
      <w:r w:rsidRPr="00B359AB">
        <w:rPr>
          <w:color w:val="000000"/>
        </w:rPr>
        <w:lastRenderedPageBreak/>
        <w:t xml:space="preserve">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2B3B6485" w14:textId="77777777" w:rsidR="00F15795" w:rsidRPr="00B359AB" w:rsidRDefault="00F15795" w:rsidP="00F15795">
      <w:pPr>
        <w:adjustRightInd w:val="0"/>
        <w:jc w:val="both"/>
        <w:rPr>
          <w:color w:val="000000"/>
        </w:rPr>
      </w:pPr>
      <w:r w:rsidRPr="00B359AB">
        <w:rPr>
          <w:color w:val="000000"/>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208C14F7" w14:textId="77777777" w:rsidR="00F15795" w:rsidRPr="00B2662D" w:rsidRDefault="00F15795" w:rsidP="00F15795">
      <w:pPr>
        <w:jc w:val="both"/>
        <w:rPr>
          <w:color w:val="000000"/>
        </w:rPr>
      </w:pPr>
      <w:r w:rsidRPr="00B2662D">
        <w:rPr>
          <w:color w:val="000000"/>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390D089E" w14:textId="6DFC68C8" w:rsidR="00F15795" w:rsidRPr="00B359AB" w:rsidRDefault="00F15795" w:rsidP="00F15795">
      <w:pPr>
        <w:adjustRightInd w:val="0"/>
        <w:jc w:val="both"/>
        <w:rPr>
          <w:color w:val="000000"/>
        </w:rPr>
      </w:pPr>
      <w:r w:rsidRPr="00B359AB">
        <w:rPr>
          <w:b/>
          <w:bCs/>
          <w:i/>
          <w:iCs/>
          <w:color w:val="000000"/>
        </w:rPr>
        <w:t xml:space="preserve">UNIVERSITY HONESTY POLICY </w:t>
      </w:r>
    </w:p>
    <w:p w14:paraId="44107AC7" w14:textId="77777777" w:rsidR="00F15795" w:rsidRPr="00B2662D" w:rsidRDefault="00F15795" w:rsidP="00F15795">
      <w:pPr>
        <w:adjustRightInd w:val="0"/>
        <w:jc w:val="both"/>
        <w:rPr>
          <w:color w:val="000000"/>
        </w:rPr>
      </w:pPr>
      <w:r w:rsidRPr="00B359AB">
        <w:rPr>
          <w:color w:val="000000"/>
        </w:rPr>
        <w:t>UF students are bound by The Honor Pledge which states, “</w:t>
      </w:r>
      <w:r w:rsidRPr="00F15795">
        <w:rPr>
          <w:i/>
          <w:iCs/>
          <w:color w:val="000000"/>
        </w:rPr>
        <w:t>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w:t>
      </w:r>
      <w:r w:rsidRPr="00B359AB">
        <w:rPr>
          <w:color w:val="000000"/>
        </w:rPr>
        <w:t>” The Conduct Code (</w:t>
      </w:r>
      <w:r w:rsidRPr="00B359AB">
        <w:rPr>
          <w:color w:val="0000FF"/>
        </w:rPr>
        <w:t xml:space="preserve">https://sccr.dso.ufl.edu/process/student-conduct-code/) </w:t>
      </w:r>
      <w:r w:rsidRPr="00B359AB">
        <w:rPr>
          <w:color w:val="000000"/>
        </w:rPr>
        <w:t xml:space="preserve">specifies a number of behaviors that are in violation of this code and the possible sanctions. If you have any questions or concerns, please consult with the instructor or TAs in this class. </w:t>
      </w:r>
    </w:p>
    <w:p w14:paraId="423B32DB" w14:textId="77777777" w:rsidR="00F15795" w:rsidRPr="00EF0CD4" w:rsidRDefault="00F15795" w:rsidP="00F15795">
      <w:pPr>
        <w:pStyle w:val="BodyText"/>
        <w:spacing w:before="120" w:after="120" w:line="240" w:lineRule="exact"/>
        <w:ind w:right="609"/>
        <w:jc w:val="both"/>
        <w:rPr>
          <w:sz w:val="22"/>
          <w:szCs w:val="22"/>
        </w:rPr>
      </w:pPr>
      <w:r w:rsidRPr="00EF0CD4">
        <w:rPr>
          <w:b/>
          <w:sz w:val="22"/>
          <w:szCs w:val="22"/>
        </w:rPr>
        <w:t xml:space="preserve">UNIVERSITY POLICY ON ACADEMIC MISCONDUCT: </w:t>
      </w:r>
      <w:r w:rsidRPr="00EF0CD4">
        <w:rPr>
          <w:sz w:val="22"/>
          <w:szCs w:val="22"/>
        </w:rPr>
        <w:t xml:space="preserve">Academic honesty and integrity are fundamental values of the University community. Students should be sure that they understand the UF Student Honor Code at </w:t>
      </w:r>
      <w:hyperlink r:id="rId7">
        <w:r w:rsidRPr="00EF0CD4">
          <w:rPr>
            <w:color w:val="0000FF"/>
            <w:sz w:val="22"/>
            <w:szCs w:val="22"/>
            <w:u w:val="single" w:color="0000FF"/>
          </w:rPr>
          <w:t>http://www.dso.ufl.edu/students.php</w:t>
        </w:r>
        <w:r w:rsidRPr="00EF0CD4">
          <w:rPr>
            <w:sz w:val="22"/>
            <w:szCs w:val="22"/>
          </w:rPr>
          <w:t>.</w:t>
        </w:r>
      </w:hyperlink>
      <w:r w:rsidRPr="00EF0CD4">
        <w:rPr>
          <w:sz w:val="22"/>
          <w:szCs w:val="22"/>
        </w:rPr>
        <w:t xml:space="preserve"> The Honor Code will be applied in the class. We, the members of the University of Florida community, pledge to hold ourselves and our peers to the highest standards of honesty and integrity. On all work submitted for credit by students at the university, the following pledge is either required or implied: "On my honor, I have neither given nor received unauthorized aid in doing this assignment." It is Rinker School policy that any incident of cheating, copying, or other attempts to deceive will be penalized by course failure.</w:t>
      </w:r>
    </w:p>
    <w:p w14:paraId="741ACEA7" w14:textId="77777777" w:rsidR="00F15795" w:rsidRDefault="00F15795" w:rsidP="00F15795">
      <w:pPr>
        <w:pStyle w:val="BodyText"/>
        <w:spacing w:before="120" w:after="120" w:line="240" w:lineRule="exact"/>
        <w:ind w:right="783"/>
        <w:jc w:val="both"/>
        <w:rPr>
          <w:color w:val="0000FF"/>
          <w:sz w:val="22"/>
          <w:szCs w:val="22"/>
          <w:u w:val="single" w:color="0000FF"/>
        </w:rPr>
      </w:pPr>
      <w:r w:rsidRPr="00EF0CD4">
        <w:rPr>
          <w:b/>
          <w:sz w:val="22"/>
          <w:szCs w:val="22"/>
        </w:rPr>
        <w:t xml:space="preserve">NETIQUETTE, COMMUNICATION COURTESY POLICY: </w:t>
      </w:r>
      <w:r w:rsidRPr="00EF0CD4">
        <w:rPr>
          <w:sz w:val="22"/>
          <w:szCs w:val="22"/>
        </w:rPr>
        <w:t xml:space="preserve">All members of the class are expected to follow rules of common courtesy in all email messages, threaded discussions and chats. Detailed guide is available at </w:t>
      </w:r>
      <w:hyperlink r:id="rId8">
        <w:r w:rsidRPr="00EF0CD4">
          <w:rPr>
            <w:color w:val="0000FF"/>
            <w:sz w:val="22"/>
            <w:szCs w:val="22"/>
            <w:u w:val="single" w:color="0000FF"/>
          </w:rPr>
          <w:t>http://teach.ufl.edu/wp-content/uploads/2012/08/NetiquetteGuideforOnlineCourses.pdf</w:t>
        </w:r>
      </w:hyperlink>
    </w:p>
    <w:p w14:paraId="4742F4EA" w14:textId="77777777" w:rsidR="00F15795" w:rsidRPr="00B359AB" w:rsidRDefault="00F15795" w:rsidP="00F15795">
      <w:pPr>
        <w:adjustRightInd w:val="0"/>
        <w:jc w:val="both"/>
        <w:rPr>
          <w:color w:val="000000"/>
        </w:rPr>
      </w:pPr>
    </w:p>
    <w:p w14:paraId="08964F05" w14:textId="3ECB2DCD" w:rsidR="00F15795" w:rsidRPr="00F15795" w:rsidRDefault="00F15795" w:rsidP="00F15795">
      <w:pPr>
        <w:adjustRightInd w:val="0"/>
        <w:jc w:val="both"/>
        <w:rPr>
          <w:color w:val="000000"/>
        </w:rPr>
      </w:pPr>
      <w:r w:rsidRPr="00F15795">
        <w:rPr>
          <w:b/>
          <w:bCs/>
          <w:color w:val="000000"/>
        </w:rPr>
        <w:t xml:space="preserve">COMMITMENT TO A SAFE AND INCLUSIVE LEARNING ENVIRONMENT </w:t>
      </w:r>
    </w:p>
    <w:p w14:paraId="0962397A" w14:textId="04A055D2" w:rsidR="00F15795" w:rsidRPr="00B359AB" w:rsidRDefault="00F15795" w:rsidP="00F15795">
      <w:pPr>
        <w:adjustRightInd w:val="0"/>
        <w:jc w:val="both"/>
        <w:rPr>
          <w:color w:val="000000"/>
        </w:rPr>
      </w:pPr>
      <w:r w:rsidRPr="00B359AB">
        <w:rPr>
          <w:color w:val="000000"/>
        </w:rPr>
        <w:t xml:space="preserve">The </w:t>
      </w:r>
      <w:r>
        <w:rPr>
          <w:color w:val="000000"/>
        </w:rPr>
        <w:t>University of Florida</w:t>
      </w:r>
      <w:r w:rsidRPr="00B359AB">
        <w:rPr>
          <w:color w:val="000000"/>
        </w:rPr>
        <w:t xml:space="preserve"> values broad diversity within our community and is committed to individual and group empowerment, inclusion, and the elimination of discrimination. It is expected that every person in this class will treat one another with dignity and respect regardless of gender, sexuality, disability, age, socioeconomic status, ethnicity, race, and culture. </w:t>
      </w:r>
    </w:p>
    <w:p w14:paraId="1843BBD0" w14:textId="77777777" w:rsidR="00F15795" w:rsidRPr="00B359AB" w:rsidRDefault="00F15795" w:rsidP="00F15795">
      <w:pPr>
        <w:adjustRightInd w:val="0"/>
        <w:jc w:val="both"/>
        <w:rPr>
          <w:color w:val="000000"/>
        </w:rPr>
      </w:pPr>
      <w:r w:rsidRPr="00B359AB">
        <w:rPr>
          <w:color w:val="000000"/>
        </w:rPr>
        <w:t xml:space="preserve">If you feel like your performance in class is being impacted by discrimination or harassment of any kind, please contact your instructor or any of the following: </w:t>
      </w:r>
    </w:p>
    <w:p w14:paraId="7988E0C4" w14:textId="77777777" w:rsidR="00F15795" w:rsidRPr="00B359AB" w:rsidRDefault="00F15795" w:rsidP="00F15795">
      <w:pPr>
        <w:adjustRightInd w:val="0"/>
        <w:jc w:val="both"/>
        <w:rPr>
          <w:color w:val="000000"/>
        </w:rPr>
      </w:pPr>
      <w:r w:rsidRPr="00B359AB">
        <w:rPr>
          <w:color w:val="000000"/>
        </w:rPr>
        <w:t xml:space="preserve">• Your academic advisor or Graduate Program Coordinator </w:t>
      </w:r>
    </w:p>
    <w:p w14:paraId="1323C6FA" w14:textId="77777777" w:rsidR="00F15795" w:rsidRPr="00B359AB" w:rsidRDefault="00F15795" w:rsidP="00F15795">
      <w:pPr>
        <w:adjustRightInd w:val="0"/>
        <w:jc w:val="both"/>
        <w:rPr>
          <w:color w:val="0000FF"/>
        </w:rPr>
      </w:pPr>
      <w:r w:rsidRPr="00B359AB">
        <w:rPr>
          <w:color w:val="000000"/>
        </w:rPr>
        <w:t xml:space="preserve">• Jennifer Nappo, Director of Human Resources, 352-392-0904, </w:t>
      </w:r>
      <w:r w:rsidRPr="00B359AB">
        <w:rPr>
          <w:color w:val="0000FF"/>
        </w:rPr>
        <w:t xml:space="preserve">jpennacc@ufl.edu </w:t>
      </w:r>
    </w:p>
    <w:p w14:paraId="5E951D64" w14:textId="77777777" w:rsidR="00F15795" w:rsidRPr="00B359AB" w:rsidRDefault="00F15795" w:rsidP="00F15795">
      <w:pPr>
        <w:adjustRightInd w:val="0"/>
        <w:jc w:val="both"/>
        <w:rPr>
          <w:color w:val="0000FF"/>
        </w:rPr>
      </w:pPr>
      <w:r w:rsidRPr="00B359AB">
        <w:rPr>
          <w:color w:val="000000"/>
        </w:rPr>
        <w:t xml:space="preserve">• Curtis Taylor, Associate Dean of Student Affairs, 352-392-2177, </w:t>
      </w:r>
      <w:r w:rsidRPr="00B359AB">
        <w:rPr>
          <w:color w:val="0000FF"/>
        </w:rPr>
        <w:t xml:space="preserve">taylor@eng.ufl.edu </w:t>
      </w:r>
    </w:p>
    <w:p w14:paraId="1995647D" w14:textId="77777777" w:rsidR="00F15795" w:rsidRPr="00B2662D" w:rsidRDefault="00F15795" w:rsidP="00F15795">
      <w:pPr>
        <w:jc w:val="both"/>
        <w:rPr>
          <w:color w:val="0000FF"/>
        </w:rPr>
      </w:pPr>
      <w:r w:rsidRPr="00B2662D">
        <w:rPr>
          <w:color w:val="000000"/>
        </w:rPr>
        <w:lastRenderedPageBreak/>
        <w:t xml:space="preserve">• Toshikazu Nishida, Associate Dean of Academic Affairs, 352-392-0943, </w:t>
      </w:r>
      <w:hyperlink r:id="rId9" w:history="1">
        <w:r w:rsidRPr="00B2662D">
          <w:rPr>
            <w:rStyle w:val="Hyperlink"/>
          </w:rPr>
          <w:t>nishida@eng.ufl.edu</w:t>
        </w:r>
      </w:hyperlink>
    </w:p>
    <w:p w14:paraId="739D73FC" w14:textId="77777777" w:rsidR="00F15795" w:rsidRDefault="00F15795" w:rsidP="00F15795">
      <w:pPr>
        <w:adjustRightInd w:val="0"/>
        <w:jc w:val="both"/>
        <w:rPr>
          <w:b/>
          <w:bCs/>
          <w:i/>
          <w:iCs/>
          <w:color w:val="000000"/>
        </w:rPr>
      </w:pPr>
    </w:p>
    <w:p w14:paraId="760D0900" w14:textId="1DE0DC74" w:rsidR="00F15795" w:rsidRPr="00B359AB" w:rsidRDefault="00F15795" w:rsidP="00F15795">
      <w:pPr>
        <w:adjustRightInd w:val="0"/>
        <w:jc w:val="both"/>
        <w:rPr>
          <w:color w:val="000000"/>
        </w:rPr>
      </w:pPr>
      <w:r w:rsidRPr="00B359AB">
        <w:rPr>
          <w:b/>
          <w:bCs/>
          <w:i/>
          <w:iCs/>
          <w:color w:val="000000"/>
        </w:rPr>
        <w:t xml:space="preserve">STUDENT PRIVACY </w:t>
      </w:r>
    </w:p>
    <w:p w14:paraId="6D1F322B" w14:textId="77777777" w:rsidR="00F15795" w:rsidRPr="00B359AB" w:rsidRDefault="00F15795" w:rsidP="00F15795">
      <w:pPr>
        <w:adjustRightInd w:val="0"/>
        <w:jc w:val="both"/>
        <w:rPr>
          <w:color w:val="0000FF"/>
        </w:rPr>
      </w:pPr>
      <w:r w:rsidRPr="00B359AB">
        <w:rPr>
          <w:color w:val="000000"/>
        </w:rPr>
        <w:t xml:space="preserve">There are federal laws protecting your privacy with regards to grades earned in courses and on individual assignments. For more information, please see: </w:t>
      </w:r>
      <w:r w:rsidRPr="00B359AB">
        <w:rPr>
          <w:color w:val="0000FF"/>
        </w:rPr>
        <w:t xml:space="preserve">https://registrar.ufl.edu/ferpa.html </w:t>
      </w:r>
    </w:p>
    <w:p w14:paraId="6DE34ED7" w14:textId="77777777" w:rsidR="00F15795" w:rsidRPr="00EF0CD4" w:rsidRDefault="00F15795" w:rsidP="00550F37">
      <w:pPr>
        <w:spacing w:before="120" w:after="120" w:line="240" w:lineRule="exact"/>
        <w:jc w:val="both"/>
      </w:pPr>
    </w:p>
    <w:p w14:paraId="47F25C70" w14:textId="77777777" w:rsidR="00F708EA" w:rsidRDefault="00F708EA" w:rsidP="00550F37">
      <w:pPr>
        <w:pStyle w:val="BodyText"/>
        <w:spacing w:before="120" w:after="120" w:line="240" w:lineRule="exact"/>
        <w:ind w:right="609"/>
        <w:jc w:val="both"/>
        <w:rPr>
          <w:sz w:val="22"/>
          <w:szCs w:val="22"/>
        </w:rPr>
      </w:pPr>
      <w:r w:rsidRPr="00EF0CD4">
        <w:rPr>
          <w:b/>
          <w:sz w:val="22"/>
          <w:szCs w:val="22"/>
        </w:rPr>
        <w:t xml:space="preserve">GETTING HELP WITH E-LEARNING WEBSITE: </w:t>
      </w:r>
      <w:r w:rsidRPr="00EF0CD4">
        <w:rPr>
          <w:sz w:val="22"/>
          <w:szCs w:val="22"/>
        </w:rPr>
        <w:t xml:space="preserve">In the case you have technical difficulties with e- Learning in Canvas, please contact the UF Help Desk at: </w:t>
      </w:r>
      <w:hyperlink r:id="rId10">
        <w:r w:rsidRPr="00EF0CD4">
          <w:rPr>
            <w:color w:val="0000FF"/>
            <w:sz w:val="22"/>
            <w:szCs w:val="22"/>
            <w:u w:val="single" w:color="0000FF"/>
          </w:rPr>
          <w:t>Learning-support@ufl.edu</w:t>
        </w:r>
        <w:r w:rsidRPr="00EF0CD4">
          <w:rPr>
            <w:sz w:val="22"/>
            <w:szCs w:val="22"/>
          </w:rPr>
          <w:t xml:space="preserve">; </w:t>
        </w:r>
      </w:hyperlink>
      <w:r w:rsidRPr="00EF0CD4">
        <w:rPr>
          <w:sz w:val="22"/>
          <w:szCs w:val="22"/>
        </w:rPr>
        <w:t xml:space="preserve">(352) 392-HELP - select option 2; </w:t>
      </w:r>
      <w:hyperlink r:id="rId11">
        <w:r w:rsidRPr="00EF0CD4">
          <w:rPr>
            <w:color w:val="0000FF"/>
            <w:sz w:val="22"/>
            <w:szCs w:val="22"/>
            <w:u w:val="single" w:color="0000FF"/>
          </w:rPr>
          <w:t xml:space="preserve">https://lss.at.ufl.edu/help.shtml </w:t>
        </w:r>
      </w:hyperlink>
      <w:r w:rsidRPr="00EF0CD4">
        <w:rPr>
          <w:color w:val="0000FF"/>
          <w:sz w:val="22"/>
          <w:szCs w:val="22"/>
          <w:u w:val="single" w:color="0000FF"/>
        </w:rPr>
        <w:t xml:space="preserve">. </w:t>
      </w:r>
      <w:r w:rsidRPr="00EF0CD4">
        <w:rPr>
          <w:sz w:val="22"/>
          <w:szCs w:val="22"/>
        </w:rPr>
        <w:t xml:space="preserve">If your technical difficulties will cause you to miss a due date/time, you MUST report the problem to the UF Help Desk </w:t>
      </w:r>
      <w:r w:rsidRPr="00EF0CD4">
        <w:rPr>
          <w:b/>
          <w:sz w:val="22"/>
          <w:szCs w:val="22"/>
        </w:rPr>
        <w:t xml:space="preserve">before </w:t>
      </w:r>
      <w:r w:rsidRPr="00EF0CD4">
        <w:rPr>
          <w:sz w:val="22"/>
          <w:szCs w:val="22"/>
        </w:rPr>
        <w:t>the due date/time.</w:t>
      </w:r>
    </w:p>
    <w:p w14:paraId="02524931" w14:textId="08DB140E" w:rsidR="00F15795" w:rsidRPr="00B359AB" w:rsidRDefault="00F15795" w:rsidP="00F15795">
      <w:pPr>
        <w:adjustRightInd w:val="0"/>
        <w:jc w:val="both"/>
        <w:rPr>
          <w:color w:val="000000"/>
        </w:rPr>
      </w:pPr>
      <w:r w:rsidRPr="00B359AB">
        <w:rPr>
          <w:b/>
          <w:bCs/>
          <w:i/>
          <w:iCs/>
          <w:color w:val="000000"/>
        </w:rPr>
        <w:t xml:space="preserve">SOFTWARE USE </w:t>
      </w:r>
    </w:p>
    <w:p w14:paraId="29CE8DA8" w14:textId="77777777" w:rsidR="00F15795" w:rsidRPr="00B2662D" w:rsidRDefault="00F15795" w:rsidP="00F15795">
      <w:pPr>
        <w:pStyle w:val="Default"/>
        <w:jc w:val="both"/>
        <w:rPr>
          <w:sz w:val="22"/>
          <w:szCs w:val="22"/>
        </w:rPr>
      </w:pPr>
      <w:r w:rsidRPr="00B2662D">
        <w:t xml:space="preserve">All faculty, staff, and students of the University are required and expected to obey the laws and legal agreements governing software use. Failure to do so can lead to monetary damages and/or criminal penalties for the individual </w:t>
      </w:r>
      <w:r w:rsidRPr="00B2662D">
        <w:rPr>
          <w:sz w:val="22"/>
          <w:szCs w:val="22"/>
        </w:rPr>
        <w:t xml:space="preserve">violator. Because such violations are also against University policies and rules, disciplinary action will be taken as appropriate. We, the members of the University of Florida community, pledge to uphold ourselves and our peers to the highest standards of honesty and integrity. </w:t>
      </w:r>
    </w:p>
    <w:p w14:paraId="37D1181E" w14:textId="77777777" w:rsidR="00F708EA" w:rsidRPr="00EF0CD4" w:rsidRDefault="00F708EA" w:rsidP="00550F37">
      <w:pPr>
        <w:pStyle w:val="BodyText"/>
        <w:spacing w:before="120" w:after="120" w:line="240" w:lineRule="exact"/>
        <w:ind w:right="670"/>
        <w:jc w:val="both"/>
        <w:rPr>
          <w:sz w:val="22"/>
          <w:szCs w:val="22"/>
        </w:rPr>
      </w:pPr>
      <w:r w:rsidRPr="00EF0CD4">
        <w:rPr>
          <w:b/>
          <w:sz w:val="22"/>
          <w:szCs w:val="22"/>
        </w:rPr>
        <w:t>CELLPHONES</w:t>
      </w:r>
      <w:r w:rsidRPr="00EF0CD4">
        <w:rPr>
          <w:sz w:val="22"/>
          <w:szCs w:val="22"/>
        </w:rPr>
        <w:t>. Cellphone use is not allowed in classrooms. Use of cellphones during class will discount attendance. Use of cellphones during an exam will result in failing the exam.</w:t>
      </w:r>
    </w:p>
    <w:p w14:paraId="1A24BFDC" w14:textId="77777777" w:rsidR="00F15795" w:rsidRDefault="00F708EA" w:rsidP="00550F37">
      <w:pPr>
        <w:pStyle w:val="BodyText"/>
        <w:spacing w:before="120" w:after="120" w:line="240" w:lineRule="exact"/>
        <w:ind w:right="586"/>
        <w:jc w:val="both"/>
        <w:rPr>
          <w:sz w:val="22"/>
          <w:szCs w:val="22"/>
        </w:rPr>
      </w:pPr>
      <w:r w:rsidRPr="00EF0CD4">
        <w:rPr>
          <w:b/>
          <w:sz w:val="22"/>
          <w:szCs w:val="22"/>
        </w:rPr>
        <w:t>LAPTOPS &amp; TABLETS</w:t>
      </w:r>
      <w:r w:rsidRPr="00EF0CD4">
        <w:rPr>
          <w:sz w:val="22"/>
          <w:szCs w:val="22"/>
        </w:rPr>
        <w:t xml:space="preserve">. These devices should only be used to take notes related to lectures. Use of these devices for social media or any other unrelated purposes during class hours will result in a penalty of 10 points for every incident. </w:t>
      </w:r>
    </w:p>
    <w:p w14:paraId="6B971229" w14:textId="2EBCC029" w:rsidR="00F708EA" w:rsidRPr="00EF0CD4" w:rsidRDefault="00F708EA" w:rsidP="00550F37">
      <w:pPr>
        <w:pStyle w:val="BodyText"/>
        <w:spacing w:before="120" w:after="120" w:line="240" w:lineRule="exact"/>
        <w:ind w:right="586"/>
        <w:jc w:val="both"/>
        <w:rPr>
          <w:b/>
          <w:sz w:val="22"/>
          <w:szCs w:val="22"/>
        </w:rPr>
      </w:pPr>
      <w:r w:rsidRPr="00EF0CD4">
        <w:rPr>
          <w:b/>
          <w:sz w:val="22"/>
          <w:szCs w:val="22"/>
        </w:rPr>
        <w:t>COMMUNICATION</w:t>
      </w:r>
    </w:p>
    <w:p w14:paraId="1DA091E1" w14:textId="77777777" w:rsidR="00F708EA" w:rsidRPr="00EF0CD4" w:rsidRDefault="00F708EA" w:rsidP="00550F37">
      <w:pPr>
        <w:pStyle w:val="ListParagraph"/>
        <w:numPr>
          <w:ilvl w:val="0"/>
          <w:numId w:val="5"/>
        </w:numPr>
        <w:spacing w:before="120" w:after="120" w:line="240" w:lineRule="exact"/>
        <w:ind w:left="450" w:right="672"/>
        <w:contextualSpacing w:val="0"/>
        <w:jc w:val="both"/>
      </w:pPr>
      <w:r w:rsidRPr="00EF0CD4">
        <w:t>Use the e-Learning in Canvas environment to send an email to the instructor and teaching assistant. Do not e-mail the course instructor and teaching assistant outside of the e-Learning in Canvas system because emails received outside of e-Learning will not receive a response. Please allow 36 hours for a response to your email. The instructor and teaching assistant reserve the right not to respond to course inquiries on the</w:t>
      </w:r>
      <w:r w:rsidRPr="00EF0CD4">
        <w:rPr>
          <w:spacing w:val="-10"/>
        </w:rPr>
        <w:t xml:space="preserve"> </w:t>
      </w:r>
      <w:r w:rsidRPr="00EF0CD4">
        <w:t>weekend.</w:t>
      </w:r>
    </w:p>
    <w:p w14:paraId="34091644" w14:textId="77777777" w:rsidR="00F708EA" w:rsidRPr="00EF0CD4" w:rsidRDefault="00F708EA" w:rsidP="00550F37">
      <w:pPr>
        <w:pStyle w:val="ListParagraph"/>
        <w:numPr>
          <w:ilvl w:val="0"/>
          <w:numId w:val="5"/>
        </w:numPr>
        <w:spacing w:before="120" w:after="120" w:line="240" w:lineRule="exact"/>
        <w:ind w:left="450" w:right="793"/>
        <w:contextualSpacing w:val="0"/>
        <w:jc w:val="both"/>
      </w:pPr>
      <w:r w:rsidRPr="00EF0CD4">
        <w:t>You are responsible for addressing grades/omissions within one week of the grade being posted on e-Learning in Canvas. After one week, the grade/input stands for the class regardless of cause or</w:t>
      </w:r>
      <w:r w:rsidRPr="00EF0CD4">
        <w:rPr>
          <w:spacing w:val="-8"/>
        </w:rPr>
        <w:t xml:space="preserve"> </w:t>
      </w:r>
      <w:r w:rsidRPr="00EF0CD4">
        <w:t>circumstance.</w:t>
      </w:r>
    </w:p>
    <w:p w14:paraId="5BA80B03" w14:textId="77777777" w:rsidR="00F708EA" w:rsidRPr="00EF0CD4" w:rsidRDefault="00F708EA" w:rsidP="00550F37">
      <w:pPr>
        <w:pStyle w:val="BodyText"/>
        <w:spacing w:before="120" w:after="120" w:line="240" w:lineRule="exact"/>
        <w:ind w:left="450"/>
        <w:jc w:val="both"/>
        <w:rPr>
          <w:sz w:val="22"/>
          <w:szCs w:val="22"/>
        </w:rPr>
      </w:pPr>
    </w:p>
    <w:p w14:paraId="58BB69E6" w14:textId="77777777" w:rsidR="00F708EA" w:rsidRPr="00EF0CD4" w:rsidRDefault="00F708EA" w:rsidP="00550F37">
      <w:pPr>
        <w:spacing w:before="120" w:after="120" w:line="240" w:lineRule="exact"/>
        <w:ind w:right="698"/>
        <w:jc w:val="both"/>
        <w:rPr>
          <w:i/>
        </w:rPr>
      </w:pPr>
      <w:r w:rsidRPr="00EF0CD4">
        <w:rPr>
          <w:b/>
          <w:u w:val="single"/>
        </w:rPr>
        <w:t xml:space="preserve">Note from the instructor: </w:t>
      </w:r>
      <w:r w:rsidRPr="00EF0CD4">
        <w:rPr>
          <w:i/>
          <w:u w:val="single"/>
        </w:rPr>
        <w:t>The syllabus represents my current plans and objectives. As we go through the</w:t>
      </w:r>
      <w:r w:rsidRPr="00EF0CD4">
        <w:rPr>
          <w:i/>
        </w:rPr>
        <w:t xml:space="preserve"> </w:t>
      </w:r>
      <w:r w:rsidRPr="00EF0CD4">
        <w:rPr>
          <w:i/>
          <w:u w:val="single"/>
        </w:rPr>
        <w:t>semester, those plans may need to change to enhance the class learning opportunity. Such changes,</w:t>
      </w:r>
      <w:r w:rsidRPr="00EF0CD4">
        <w:rPr>
          <w:i/>
        </w:rPr>
        <w:t xml:space="preserve"> </w:t>
      </w:r>
      <w:r w:rsidRPr="00EF0CD4">
        <w:rPr>
          <w:i/>
          <w:u w:val="single"/>
        </w:rPr>
        <w:t>communicated clearly, are not unusual and should be expected.</w:t>
      </w:r>
    </w:p>
    <w:p w14:paraId="5DD5F684" w14:textId="77777777" w:rsidR="00F708EA" w:rsidRDefault="00F708EA" w:rsidP="00550F37">
      <w:pPr>
        <w:spacing w:before="120" w:after="120" w:line="240" w:lineRule="exact"/>
        <w:jc w:val="both"/>
      </w:pPr>
    </w:p>
    <w:sectPr w:rsidR="00F7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4EB"/>
    <w:multiLevelType w:val="hybridMultilevel"/>
    <w:tmpl w:val="B5E4A304"/>
    <w:lvl w:ilvl="0" w:tplc="4238D97C">
      <w:numFmt w:val="bullet"/>
      <w:lvlText w:val=""/>
      <w:lvlJc w:val="left"/>
      <w:pPr>
        <w:ind w:left="1360" w:hanging="360"/>
      </w:pPr>
      <w:rPr>
        <w:rFonts w:ascii="Symbol" w:eastAsia="Symbol" w:hAnsi="Symbol" w:cs="Symbol" w:hint="default"/>
        <w:w w:val="99"/>
        <w:sz w:val="20"/>
        <w:szCs w:val="20"/>
        <w:lang w:val="en-US" w:eastAsia="en-US" w:bidi="ar-SA"/>
      </w:rPr>
    </w:lvl>
    <w:lvl w:ilvl="1" w:tplc="13E0CC4E">
      <w:numFmt w:val="bullet"/>
      <w:lvlText w:val="•"/>
      <w:lvlJc w:val="left"/>
      <w:pPr>
        <w:ind w:left="2344" w:hanging="360"/>
      </w:pPr>
      <w:rPr>
        <w:rFonts w:hint="default"/>
        <w:lang w:val="en-US" w:eastAsia="en-US" w:bidi="ar-SA"/>
      </w:rPr>
    </w:lvl>
    <w:lvl w:ilvl="2" w:tplc="6DBE893E">
      <w:numFmt w:val="bullet"/>
      <w:lvlText w:val="•"/>
      <w:lvlJc w:val="left"/>
      <w:pPr>
        <w:ind w:left="3328" w:hanging="360"/>
      </w:pPr>
      <w:rPr>
        <w:rFonts w:hint="default"/>
        <w:lang w:val="en-US" w:eastAsia="en-US" w:bidi="ar-SA"/>
      </w:rPr>
    </w:lvl>
    <w:lvl w:ilvl="3" w:tplc="7D6AEFD4">
      <w:numFmt w:val="bullet"/>
      <w:lvlText w:val="•"/>
      <w:lvlJc w:val="left"/>
      <w:pPr>
        <w:ind w:left="4312" w:hanging="360"/>
      </w:pPr>
      <w:rPr>
        <w:rFonts w:hint="default"/>
        <w:lang w:val="en-US" w:eastAsia="en-US" w:bidi="ar-SA"/>
      </w:rPr>
    </w:lvl>
    <w:lvl w:ilvl="4" w:tplc="4EAEBC5E">
      <w:numFmt w:val="bullet"/>
      <w:lvlText w:val="•"/>
      <w:lvlJc w:val="left"/>
      <w:pPr>
        <w:ind w:left="5296" w:hanging="360"/>
      </w:pPr>
      <w:rPr>
        <w:rFonts w:hint="default"/>
        <w:lang w:val="en-US" w:eastAsia="en-US" w:bidi="ar-SA"/>
      </w:rPr>
    </w:lvl>
    <w:lvl w:ilvl="5" w:tplc="13724E82">
      <w:numFmt w:val="bullet"/>
      <w:lvlText w:val="•"/>
      <w:lvlJc w:val="left"/>
      <w:pPr>
        <w:ind w:left="6280" w:hanging="360"/>
      </w:pPr>
      <w:rPr>
        <w:rFonts w:hint="default"/>
        <w:lang w:val="en-US" w:eastAsia="en-US" w:bidi="ar-SA"/>
      </w:rPr>
    </w:lvl>
    <w:lvl w:ilvl="6" w:tplc="4B72DE12">
      <w:numFmt w:val="bullet"/>
      <w:lvlText w:val="•"/>
      <w:lvlJc w:val="left"/>
      <w:pPr>
        <w:ind w:left="7264" w:hanging="360"/>
      </w:pPr>
      <w:rPr>
        <w:rFonts w:hint="default"/>
        <w:lang w:val="en-US" w:eastAsia="en-US" w:bidi="ar-SA"/>
      </w:rPr>
    </w:lvl>
    <w:lvl w:ilvl="7" w:tplc="0D9C61EE">
      <w:numFmt w:val="bullet"/>
      <w:lvlText w:val="•"/>
      <w:lvlJc w:val="left"/>
      <w:pPr>
        <w:ind w:left="8248" w:hanging="360"/>
      </w:pPr>
      <w:rPr>
        <w:rFonts w:hint="default"/>
        <w:lang w:val="en-US" w:eastAsia="en-US" w:bidi="ar-SA"/>
      </w:rPr>
    </w:lvl>
    <w:lvl w:ilvl="8" w:tplc="66C06A00">
      <w:numFmt w:val="bullet"/>
      <w:lvlText w:val="•"/>
      <w:lvlJc w:val="left"/>
      <w:pPr>
        <w:ind w:left="9232" w:hanging="360"/>
      </w:pPr>
      <w:rPr>
        <w:rFonts w:hint="default"/>
        <w:lang w:val="en-US" w:eastAsia="en-US" w:bidi="ar-SA"/>
      </w:rPr>
    </w:lvl>
  </w:abstractNum>
  <w:abstractNum w:abstractNumId="1" w15:restartNumberingAfterBreak="0">
    <w:nsid w:val="17C46D1F"/>
    <w:multiLevelType w:val="multilevel"/>
    <w:tmpl w:val="1D98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F7E78"/>
    <w:multiLevelType w:val="hybridMultilevel"/>
    <w:tmpl w:val="4A144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11346"/>
    <w:multiLevelType w:val="hybridMultilevel"/>
    <w:tmpl w:val="2B20D20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44647B73"/>
    <w:multiLevelType w:val="multilevel"/>
    <w:tmpl w:val="64E4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9B61A2"/>
    <w:multiLevelType w:val="hybridMultilevel"/>
    <w:tmpl w:val="ABCE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362C3"/>
    <w:multiLevelType w:val="hybridMultilevel"/>
    <w:tmpl w:val="2FBA43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1128F"/>
    <w:multiLevelType w:val="hybridMultilevel"/>
    <w:tmpl w:val="BF4E8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0C0FBB"/>
    <w:multiLevelType w:val="hybridMultilevel"/>
    <w:tmpl w:val="E63882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4233E0"/>
    <w:multiLevelType w:val="hybridMultilevel"/>
    <w:tmpl w:val="A92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6E02"/>
    <w:multiLevelType w:val="hybridMultilevel"/>
    <w:tmpl w:val="0CA8DF3E"/>
    <w:lvl w:ilvl="0" w:tplc="1046B22E">
      <w:start w:val="1"/>
      <w:numFmt w:val="decimal"/>
      <w:lvlText w:val="%1."/>
      <w:lvlJc w:val="left"/>
      <w:pPr>
        <w:ind w:left="1720" w:hanging="360"/>
      </w:pPr>
      <w:rPr>
        <w:rFonts w:ascii="Times New Roman" w:eastAsia="Times New Roman" w:hAnsi="Times New Roman" w:cs="Times New Roman" w:hint="default"/>
        <w:b/>
        <w:bCs/>
        <w:w w:val="100"/>
        <w:sz w:val="22"/>
        <w:szCs w:val="22"/>
        <w:lang w:val="en-US" w:eastAsia="en-US" w:bidi="ar-SA"/>
      </w:rPr>
    </w:lvl>
    <w:lvl w:ilvl="1" w:tplc="18D863EE">
      <w:start w:val="1"/>
      <w:numFmt w:val="lowerLetter"/>
      <w:lvlText w:val="%2."/>
      <w:lvlJc w:val="left"/>
      <w:pPr>
        <w:ind w:left="2440" w:hanging="360"/>
      </w:pPr>
      <w:rPr>
        <w:rFonts w:ascii="Times New Roman" w:eastAsia="Times New Roman" w:hAnsi="Times New Roman" w:cs="Times New Roman" w:hint="default"/>
        <w:b/>
        <w:bCs/>
        <w:w w:val="100"/>
        <w:sz w:val="22"/>
        <w:szCs w:val="22"/>
        <w:lang w:val="en-US" w:eastAsia="en-US" w:bidi="ar-SA"/>
      </w:rPr>
    </w:lvl>
    <w:lvl w:ilvl="2" w:tplc="F6C214AC">
      <w:numFmt w:val="bullet"/>
      <w:lvlText w:val="•"/>
      <w:lvlJc w:val="left"/>
      <w:pPr>
        <w:ind w:left="3413" w:hanging="360"/>
      </w:pPr>
      <w:rPr>
        <w:rFonts w:hint="default"/>
        <w:lang w:val="en-US" w:eastAsia="en-US" w:bidi="ar-SA"/>
      </w:rPr>
    </w:lvl>
    <w:lvl w:ilvl="3" w:tplc="492C8852">
      <w:numFmt w:val="bullet"/>
      <w:lvlText w:val="•"/>
      <w:lvlJc w:val="left"/>
      <w:pPr>
        <w:ind w:left="4386" w:hanging="360"/>
      </w:pPr>
      <w:rPr>
        <w:rFonts w:hint="default"/>
        <w:lang w:val="en-US" w:eastAsia="en-US" w:bidi="ar-SA"/>
      </w:rPr>
    </w:lvl>
    <w:lvl w:ilvl="4" w:tplc="382A2612">
      <w:numFmt w:val="bullet"/>
      <w:lvlText w:val="•"/>
      <w:lvlJc w:val="left"/>
      <w:pPr>
        <w:ind w:left="5360" w:hanging="360"/>
      </w:pPr>
      <w:rPr>
        <w:rFonts w:hint="default"/>
        <w:lang w:val="en-US" w:eastAsia="en-US" w:bidi="ar-SA"/>
      </w:rPr>
    </w:lvl>
    <w:lvl w:ilvl="5" w:tplc="DFB48070">
      <w:numFmt w:val="bullet"/>
      <w:lvlText w:val="•"/>
      <w:lvlJc w:val="left"/>
      <w:pPr>
        <w:ind w:left="6333" w:hanging="360"/>
      </w:pPr>
      <w:rPr>
        <w:rFonts w:hint="default"/>
        <w:lang w:val="en-US" w:eastAsia="en-US" w:bidi="ar-SA"/>
      </w:rPr>
    </w:lvl>
    <w:lvl w:ilvl="6" w:tplc="CDA6EC28">
      <w:numFmt w:val="bullet"/>
      <w:lvlText w:val="•"/>
      <w:lvlJc w:val="left"/>
      <w:pPr>
        <w:ind w:left="7306" w:hanging="360"/>
      </w:pPr>
      <w:rPr>
        <w:rFonts w:hint="default"/>
        <w:lang w:val="en-US" w:eastAsia="en-US" w:bidi="ar-SA"/>
      </w:rPr>
    </w:lvl>
    <w:lvl w:ilvl="7" w:tplc="7CFE7DA4">
      <w:numFmt w:val="bullet"/>
      <w:lvlText w:val="•"/>
      <w:lvlJc w:val="left"/>
      <w:pPr>
        <w:ind w:left="8280" w:hanging="360"/>
      </w:pPr>
      <w:rPr>
        <w:rFonts w:hint="default"/>
        <w:lang w:val="en-US" w:eastAsia="en-US" w:bidi="ar-SA"/>
      </w:rPr>
    </w:lvl>
    <w:lvl w:ilvl="8" w:tplc="652818AC">
      <w:numFmt w:val="bullet"/>
      <w:lvlText w:val="•"/>
      <w:lvlJc w:val="left"/>
      <w:pPr>
        <w:ind w:left="9253" w:hanging="360"/>
      </w:pPr>
      <w:rPr>
        <w:rFonts w:hint="default"/>
        <w:lang w:val="en-US" w:eastAsia="en-US" w:bidi="ar-SA"/>
      </w:rPr>
    </w:lvl>
  </w:abstractNum>
  <w:abstractNum w:abstractNumId="11" w15:restartNumberingAfterBreak="0">
    <w:nsid w:val="75AF1175"/>
    <w:multiLevelType w:val="hybridMultilevel"/>
    <w:tmpl w:val="BF4E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109088">
    <w:abstractNumId w:val="5"/>
  </w:num>
  <w:num w:numId="2" w16cid:durableId="459227405">
    <w:abstractNumId w:val="11"/>
  </w:num>
  <w:num w:numId="3" w16cid:durableId="570970741">
    <w:abstractNumId w:val="7"/>
  </w:num>
  <w:num w:numId="4" w16cid:durableId="1223447599">
    <w:abstractNumId w:val="6"/>
  </w:num>
  <w:num w:numId="5" w16cid:durableId="1687901836">
    <w:abstractNumId w:val="0"/>
  </w:num>
  <w:num w:numId="6" w16cid:durableId="1908220983">
    <w:abstractNumId w:val="10"/>
  </w:num>
  <w:num w:numId="7" w16cid:durableId="737217037">
    <w:abstractNumId w:val="3"/>
  </w:num>
  <w:num w:numId="8" w16cid:durableId="28528208">
    <w:abstractNumId w:val="1"/>
  </w:num>
  <w:num w:numId="9" w16cid:durableId="1553079037">
    <w:abstractNumId w:val="4"/>
  </w:num>
  <w:num w:numId="10" w16cid:durableId="1584997279">
    <w:abstractNumId w:val="2"/>
  </w:num>
  <w:num w:numId="11" w16cid:durableId="969552114">
    <w:abstractNumId w:val="8"/>
  </w:num>
  <w:num w:numId="12" w16cid:durableId="1110394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jI3NrM0Mbc0tDBS0lEKTi0uzszPAykwqgUAwvmmziwAAAA="/>
  </w:docVars>
  <w:rsids>
    <w:rsidRoot w:val="00265724"/>
    <w:rsid w:val="00027FDE"/>
    <w:rsid w:val="000478F4"/>
    <w:rsid w:val="000539E7"/>
    <w:rsid w:val="00083B4E"/>
    <w:rsid w:val="0010441D"/>
    <w:rsid w:val="001316F4"/>
    <w:rsid w:val="00215959"/>
    <w:rsid w:val="00265724"/>
    <w:rsid w:val="00346DE1"/>
    <w:rsid w:val="00350FCA"/>
    <w:rsid w:val="00353B9E"/>
    <w:rsid w:val="003719E9"/>
    <w:rsid w:val="003958FD"/>
    <w:rsid w:val="004873E9"/>
    <w:rsid w:val="00487F57"/>
    <w:rsid w:val="004D19CC"/>
    <w:rsid w:val="005252A5"/>
    <w:rsid w:val="00550F37"/>
    <w:rsid w:val="005A6381"/>
    <w:rsid w:val="005C5B26"/>
    <w:rsid w:val="006B7004"/>
    <w:rsid w:val="00752698"/>
    <w:rsid w:val="008710B2"/>
    <w:rsid w:val="009101E4"/>
    <w:rsid w:val="00967E33"/>
    <w:rsid w:val="00974BFA"/>
    <w:rsid w:val="009B2336"/>
    <w:rsid w:val="009B634C"/>
    <w:rsid w:val="009B6A66"/>
    <w:rsid w:val="00A32BFD"/>
    <w:rsid w:val="00AE1838"/>
    <w:rsid w:val="00AF5E90"/>
    <w:rsid w:val="00B343B0"/>
    <w:rsid w:val="00BD024E"/>
    <w:rsid w:val="00BD1C27"/>
    <w:rsid w:val="00D905AA"/>
    <w:rsid w:val="00DC031A"/>
    <w:rsid w:val="00E24B8F"/>
    <w:rsid w:val="00EC0EB4"/>
    <w:rsid w:val="00F15795"/>
    <w:rsid w:val="00F708EA"/>
    <w:rsid w:val="00FC1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9F42"/>
  <w15:chartTrackingRefBased/>
  <w15:docId w15:val="{97469447-A558-4332-9AD6-E7CC7E93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2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708EA"/>
    <w:pPr>
      <w:spacing w:line="252" w:lineRule="exact"/>
      <w:ind w:left="1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65724"/>
    <w:pPr>
      <w:spacing w:line="365" w:lineRule="exact"/>
      <w:ind w:left="93"/>
      <w:jc w:val="center"/>
    </w:pPr>
    <w:rPr>
      <w:b/>
      <w:bCs/>
      <w:sz w:val="32"/>
      <w:szCs w:val="32"/>
    </w:rPr>
  </w:style>
  <w:style w:type="character" w:customStyle="1" w:styleId="TitleChar">
    <w:name w:val="Title Char"/>
    <w:basedOn w:val="DefaultParagraphFont"/>
    <w:link w:val="Title"/>
    <w:uiPriority w:val="10"/>
    <w:rsid w:val="00265724"/>
    <w:rPr>
      <w:rFonts w:ascii="Times New Roman" w:eastAsia="Times New Roman" w:hAnsi="Times New Roman" w:cs="Times New Roman"/>
      <w:b/>
      <w:bCs/>
      <w:sz w:val="32"/>
      <w:szCs w:val="32"/>
    </w:rPr>
  </w:style>
  <w:style w:type="paragraph" w:styleId="ListParagraph">
    <w:name w:val="List Paragraph"/>
    <w:basedOn w:val="Normal"/>
    <w:uiPriority w:val="1"/>
    <w:qFormat/>
    <w:rsid w:val="00265724"/>
    <w:pPr>
      <w:ind w:left="720"/>
      <w:contextualSpacing/>
    </w:pPr>
  </w:style>
  <w:style w:type="paragraph" w:styleId="BodyText">
    <w:name w:val="Body Text"/>
    <w:basedOn w:val="Normal"/>
    <w:link w:val="BodyTextChar"/>
    <w:uiPriority w:val="1"/>
    <w:qFormat/>
    <w:rsid w:val="004D19CC"/>
    <w:rPr>
      <w:sz w:val="20"/>
      <w:szCs w:val="20"/>
    </w:rPr>
  </w:style>
  <w:style w:type="character" w:customStyle="1" w:styleId="BodyTextChar">
    <w:name w:val="Body Text Char"/>
    <w:basedOn w:val="DefaultParagraphFont"/>
    <w:link w:val="BodyText"/>
    <w:uiPriority w:val="1"/>
    <w:rsid w:val="004D19CC"/>
    <w:rPr>
      <w:rFonts w:ascii="Times New Roman" w:eastAsia="Times New Roman" w:hAnsi="Times New Roman" w:cs="Times New Roman"/>
      <w:sz w:val="20"/>
      <w:szCs w:val="20"/>
    </w:rPr>
  </w:style>
  <w:style w:type="table" w:styleId="TableGrid">
    <w:name w:val="Table Grid"/>
    <w:basedOn w:val="TableNormal"/>
    <w:uiPriority w:val="39"/>
    <w:rsid w:val="004D19C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F57"/>
    <w:rPr>
      <w:color w:val="0563C1" w:themeColor="hyperlink"/>
      <w:u w:val="single"/>
    </w:rPr>
  </w:style>
  <w:style w:type="character" w:styleId="UnresolvedMention">
    <w:name w:val="Unresolved Mention"/>
    <w:basedOn w:val="DefaultParagraphFont"/>
    <w:uiPriority w:val="99"/>
    <w:semiHidden/>
    <w:unhideWhenUsed/>
    <w:rsid w:val="00487F57"/>
    <w:rPr>
      <w:color w:val="605E5C"/>
      <w:shd w:val="clear" w:color="auto" w:fill="E1DFDD"/>
    </w:rPr>
  </w:style>
  <w:style w:type="table" w:customStyle="1" w:styleId="TableGrid0">
    <w:name w:val="TableGrid"/>
    <w:rsid w:val="00F708EA"/>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708EA"/>
    <w:rPr>
      <w:rFonts w:ascii="Times New Roman" w:eastAsia="Times New Roman" w:hAnsi="Times New Roman" w:cs="Times New Roman"/>
      <w:b/>
      <w:bCs/>
    </w:rPr>
  </w:style>
  <w:style w:type="paragraph" w:customStyle="1" w:styleId="TableParagraph">
    <w:name w:val="Table Paragraph"/>
    <w:basedOn w:val="Normal"/>
    <w:uiPriority w:val="1"/>
    <w:qFormat/>
    <w:rsid w:val="00F708EA"/>
    <w:pPr>
      <w:spacing w:line="268" w:lineRule="exact"/>
      <w:ind w:left="110"/>
    </w:pPr>
  </w:style>
  <w:style w:type="paragraph" w:customStyle="1" w:styleId="Default">
    <w:name w:val="Default"/>
    <w:rsid w:val="005C5B2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31A"/>
    <w:rPr>
      <w:b/>
      <w:bCs/>
    </w:rPr>
  </w:style>
  <w:style w:type="paragraph" w:styleId="NormalWeb">
    <w:name w:val="Normal (Web)"/>
    <w:basedOn w:val="Normal"/>
    <w:uiPriority w:val="99"/>
    <w:semiHidden/>
    <w:unhideWhenUsed/>
    <w:rsid w:val="00DC031A"/>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DC0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9996">
      <w:bodyDiv w:val="1"/>
      <w:marLeft w:val="0"/>
      <w:marRight w:val="0"/>
      <w:marTop w:val="0"/>
      <w:marBottom w:val="0"/>
      <w:divBdr>
        <w:top w:val="none" w:sz="0" w:space="0" w:color="auto"/>
        <w:left w:val="none" w:sz="0" w:space="0" w:color="auto"/>
        <w:bottom w:val="none" w:sz="0" w:space="0" w:color="auto"/>
        <w:right w:val="none" w:sz="0" w:space="0" w:color="auto"/>
      </w:divBdr>
    </w:div>
    <w:div w:id="547641925">
      <w:bodyDiv w:val="1"/>
      <w:marLeft w:val="0"/>
      <w:marRight w:val="0"/>
      <w:marTop w:val="0"/>
      <w:marBottom w:val="0"/>
      <w:divBdr>
        <w:top w:val="none" w:sz="0" w:space="0" w:color="auto"/>
        <w:left w:val="none" w:sz="0" w:space="0" w:color="auto"/>
        <w:bottom w:val="none" w:sz="0" w:space="0" w:color="auto"/>
        <w:right w:val="none" w:sz="0" w:space="0" w:color="auto"/>
      </w:divBdr>
    </w:div>
    <w:div w:id="678655587">
      <w:bodyDiv w:val="1"/>
      <w:marLeft w:val="0"/>
      <w:marRight w:val="0"/>
      <w:marTop w:val="0"/>
      <w:marBottom w:val="0"/>
      <w:divBdr>
        <w:top w:val="none" w:sz="0" w:space="0" w:color="auto"/>
        <w:left w:val="none" w:sz="0" w:space="0" w:color="auto"/>
        <w:bottom w:val="none" w:sz="0" w:space="0" w:color="auto"/>
        <w:right w:val="none" w:sz="0" w:space="0" w:color="auto"/>
      </w:divBdr>
    </w:div>
    <w:div w:id="1866628588">
      <w:bodyDiv w:val="1"/>
      <w:marLeft w:val="0"/>
      <w:marRight w:val="0"/>
      <w:marTop w:val="0"/>
      <w:marBottom w:val="0"/>
      <w:divBdr>
        <w:top w:val="none" w:sz="0" w:space="0" w:color="auto"/>
        <w:left w:val="none" w:sz="0" w:space="0" w:color="auto"/>
        <w:bottom w:val="none" w:sz="0" w:space="0" w:color="auto"/>
        <w:right w:val="none" w:sz="0" w:space="0" w:color="auto"/>
      </w:divBdr>
    </w:div>
    <w:div w:id="21266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ufl.edu/wp-content/uploads/2012/08/NetiquetteGuideforOnlineCours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o.ufl.edu/student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o.ufl.edu/drc/" TargetMode="External"/><Relationship Id="rId11" Type="http://schemas.openxmlformats.org/officeDocument/2006/relationships/hyperlink" Target="https://lss.at.ufl.edu/help.shtml" TargetMode="External"/><Relationship Id="rId5" Type="http://schemas.openxmlformats.org/officeDocument/2006/relationships/hyperlink" Target="mailto:zhuzixian@ufl.edu" TargetMode="External"/><Relationship Id="rId10" Type="http://schemas.openxmlformats.org/officeDocument/2006/relationships/hyperlink" Target="mailto:Learning-support@ufl.edu" TargetMode="External"/><Relationship Id="rId4" Type="http://schemas.openxmlformats.org/officeDocument/2006/relationships/webSettings" Target="webSettings.xml"/><Relationship Id="rId9" Type="http://schemas.openxmlformats.org/officeDocument/2006/relationships/hyperlink" Target="mailto:nishida@eng.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Jeelani</dc:creator>
  <cp:keywords/>
  <dc:description/>
  <cp:lastModifiedBy>Idris Jeelani</cp:lastModifiedBy>
  <cp:revision>4</cp:revision>
  <dcterms:created xsi:type="dcterms:W3CDTF">2023-12-12T04:59:00Z</dcterms:created>
  <dcterms:modified xsi:type="dcterms:W3CDTF">2025-01-10T14:46:00Z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5f6ab0ed-bb88-436c-a0fa-5d94a1e2d71d</vt:lpwstr>
  </property>
</Properties>
</file>