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0F47A" w14:textId="77777777" w:rsidR="00265724" w:rsidRPr="00EF0CD4" w:rsidRDefault="00265724" w:rsidP="00265724">
      <w:pPr>
        <w:spacing w:before="79"/>
        <w:ind w:left="101"/>
        <w:jc w:val="center"/>
        <w:rPr>
          <w:b/>
        </w:rPr>
      </w:pPr>
      <w:bookmarkStart w:id="0" w:name="_GoBack"/>
      <w:bookmarkEnd w:id="0"/>
      <w:r w:rsidRPr="00EF0CD4">
        <w:rPr>
          <w:b/>
        </w:rPr>
        <w:t>University of Florida</w:t>
      </w:r>
    </w:p>
    <w:p w14:paraId="591F8E56" w14:textId="77777777" w:rsidR="00265724" w:rsidRPr="00EF0CD4" w:rsidRDefault="00265724" w:rsidP="00265724">
      <w:pPr>
        <w:spacing w:before="1" w:line="229" w:lineRule="exact"/>
        <w:jc w:val="center"/>
        <w:rPr>
          <w:b/>
        </w:rPr>
      </w:pPr>
      <w:r w:rsidRPr="00EF0CD4">
        <w:rPr>
          <w:b/>
        </w:rPr>
        <w:t>M.E. RINKER, Sr. SCHOOL OF CONSTRUCTION MANAGEMENT</w:t>
      </w:r>
    </w:p>
    <w:p w14:paraId="2AA464EA" w14:textId="03595258" w:rsidR="00265724" w:rsidRPr="00EF0CD4" w:rsidRDefault="00265724" w:rsidP="00265724">
      <w:pPr>
        <w:pStyle w:val="Title"/>
        <w:rPr>
          <w:sz w:val="22"/>
          <w:szCs w:val="22"/>
        </w:rPr>
      </w:pPr>
      <w:r w:rsidRPr="00EF0CD4">
        <w:rPr>
          <w:sz w:val="22"/>
          <w:szCs w:val="22"/>
        </w:rPr>
        <w:t xml:space="preserve">BCN </w:t>
      </w:r>
      <w:r w:rsidR="007A0D3C">
        <w:rPr>
          <w:sz w:val="22"/>
          <w:szCs w:val="22"/>
        </w:rPr>
        <w:t>5618 COMPREHENSIVE ESTIMATING</w:t>
      </w:r>
    </w:p>
    <w:p w14:paraId="7FC03F85" w14:textId="2F75D28E" w:rsidR="00265724" w:rsidRDefault="00265724" w:rsidP="00265724">
      <w:pPr>
        <w:tabs>
          <w:tab w:val="left" w:pos="1160"/>
        </w:tabs>
        <w:spacing w:line="250" w:lineRule="exact"/>
        <w:ind w:left="99"/>
        <w:jc w:val="center"/>
      </w:pPr>
      <w:r>
        <w:t>S</w:t>
      </w:r>
      <w:r w:rsidR="007A0D3C">
        <w:t>UMMER</w:t>
      </w:r>
      <w:r w:rsidRPr="00EF0CD4">
        <w:t xml:space="preserve"> 202</w:t>
      </w:r>
      <w:r>
        <w:t>3</w:t>
      </w:r>
      <w:r w:rsidR="007A0D3C">
        <w:t xml:space="preserve"> </w:t>
      </w:r>
      <w:r w:rsidRPr="00EF0CD4">
        <w:t>|   Syllabus</w:t>
      </w:r>
    </w:p>
    <w:p w14:paraId="7DE618B9" w14:textId="77777777" w:rsidR="00265724" w:rsidRPr="00EF0CD4" w:rsidRDefault="00265724" w:rsidP="00265724">
      <w:pPr>
        <w:tabs>
          <w:tab w:val="left" w:pos="1160"/>
        </w:tabs>
        <w:spacing w:line="250" w:lineRule="exact"/>
        <w:ind w:left="99"/>
        <w:jc w:val="center"/>
      </w:pPr>
    </w:p>
    <w:p w14:paraId="0B4A9A1A" w14:textId="09A7A6B8" w:rsidR="00265724" w:rsidRDefault="00265724" w:rsidP="00265724">
      <w:r w:rsidRPr="00265724">
        <w:rPr>
          <w:b/>
          <w:bCs/>
        </w:rPr>
        <w:t>HONOR CODE:</w:t>
      </w:r>
      <w:r w:rsidR="007A0D3C">
        <w:rPr>
          <w:b/>
          <w:bCs/>
        </w:rPr>
        <w:t xml:space="preserve"> </w:t>
      </w:r>
      <w:r>
        <w:t>Students are expected to comply with the spirit and intent of the University of</w:t>
      </w:r>
    </w:p>
    <w:p w14:paraId="7E70E4B6" w14:textId="7F4F6C16" w:rsidR="00265724" w:rsidRDefault="00265724" w:rsidP="00265724">
      <w:pPr>
        <w:rPr>
          <w:i/>
          <w:iCs/>
        </w:rPr>
      </w:pPr>
      <w:r>
        <w:t>Florida Honor Code, which states, “</w:t>
      </w:r>
      <w:r w:rsidRPr="00265724">
        <w:rPr>
          <w:i/>
          <w:iCs/>
        </w:rPr>
        <w:t>We, the members of the University of Florida community, pledge to hold ourselves and our peers to the highest standards of honesty and integrity.”</w:t>
      </w:r>
    </w:p>
    <w:p w14:paraId="24F28400" w14:textId="06BEBF28" w:rsidR="00265724" w:rsidRDefault="00265724" w:rsidP="00265724">
      <w:pPr>
        <w:rPr>
          <w:i/>
          <w:iCs/>
        </w:rPr>
      </w:pPr>
    </w:p>
    <w:p w14:paraId="67B4F179" w14:textId="77777777" w:rsidR="00265724" w:rsidRPr="00EF0CD4" w:rsidRDefault="00265724" w:rsidP="00265724">
      <w:pPr>
        <w:tabs>
          <w:tab w:val="left" w:pos="1648"/>
        </w:tabs>
      </w:pPr>
      <w:r w:rsidRPr="00EF0CD4">
        <w:rPr>
          <w:b/>
        </w:rPr>
        <w:t>Instructor:</w:t>
      </w:r>
      <w:r w:rsidRPr="00EF0CD4">
        <w:rPr>
          <w:b/>
        </w:rPr>
        <w:tab/>
      </w:r>
      <w:r w:rsidRPr="00EF0CD4">
        <w:t>Idris Jeelani,</w:t>
      </w:r>
      <w:r w:rsidRPr="00EF0CD4">
        <w:rPr>
          <w:spacing w:val="-1"/>
        </w:rPr>
        <w:t xml:space="preserve"> </w:t>
      </w:r>
      <w:r w:rsidRPr="00EF0CD4">
        <w:t>PhD</w:t>
      </w:r>
    </w:p>
    <w:p w14:paraId="23A0A7D2" w14:textId="3EA52032" w:rsidR="00265724" w:rsidRPr="00EF0CD4" w:rsidRDefault="00265724" w:rsidP="00265724">
      <w:pPr>
        <w:tabs>
          <w:tab w:val="left" w:pos="1648"/>
        </w:tabs>
        <w:spacing w:before="1" w:line="252" w:lineRule="exact"/>
      </w:pPr>
      <w:r w:rsidRPr="00EF0CD4">
        <w:rPr>
          <w:b/>
        </w:rPr>
        <w:t>Office:</w:t>
      </w:r>
      <w:r w:rsidRPr="00EF0CD4">
        <w:rPr>
          <w:b/>
        </w:rPr>
        <w:tab/>
      </w:r>
      <w:r w:rsidRPr="00EF0CD4">
        <w:rPr>
          <w:bCs/>
        </w:rPr>
        <w:t xml:space="preserve">Rinker </w:t>
      </w:r>
      <w:r w:rsidR="007A0D3C">
        <w:rPr>
          <w:bCs/>
        </w:rPr>
        <w:t>317</w:t>
      </w:r>
      <w:r w:rsidRPr="00EF0CD4">
        <w:rPr>
          <w:bCs/>
        </w:rPr>
        <w:t xml:space="preserve"> </w:t>
      </w:r>
    </w:p>
    <w:p w14:paraId="6552D63D" w14:textId="77777777" w:rsidR="00265724" w:rsidRPr="00EF0CD4" w:rsidRDefault="00265724" w:rsidP="00265724">
      <w:pPr>
        <w:tabs>
          <w:tab w:val="left" w:pos="1648"/>
        </w:tabs>
        <w:spacing w:line="252" w:lineRule="exact"/>
      </w:pPr>
      <w:r w:rsidRPr="00EF0CD4">
        <w:rPr>
          <w:b/>
        </w:rPr>
        <w:t>Email:</w:t>
      </w:r>
      <w:r w:rsidRPr="00EF0CD4">
        <w:rPr>
          <w:b/>
        </w:rPr>
        <w:tab/>
      </w:r>
      <w:r w:rsidRPr="00EF0CD4">
        <w:t>Mail tool in e-Learning in Canvas (preferred</w:t>
      </w:r>
      <w:r w:rsidRPr="00EF0CD4">
        <w:rPr>
          <w:spacing w:val="-8"/>
        </w:rPr>
        <w:t xml:space="preserve"> </w:t>
      </w:r>
      <w:r w:rsidRPr="00EF0CD4">
        <w:t>method)</w:t>
      </w:r>
    </w:p>
    <w:p w14:paraId="35F1CFC8" w14:textId="77777777" w:rsidR="00265724" w:rsidRPr="00EF0CD4" w:rsidRDefault="00265724" w:rsidP="00265724">
      <w:pPr>
        <w:tabs>
          <w:tab w:val="left" w:pos="1648"/>
        </w:tabs>
        <w:spacing w:before="2" w:line="252" w:lineRule="exact"/>
      </w:pPr>
      <w:r w:rsidRPr="00EF0CD4">
        <w:rPr>
          <w:b/>
        </w:rPr>
        <w:t>Website:</w:t>
      </w:r>
      <w:r w:rsidRPr="00EF0CD4">
        <w:rPr>
          <w:b/>
        </w:rPr>
        <w:tab/>
      </w:r>
      <w:r w:rsidRPr="00EF0CD4">
        <w:t>UF e-Learning in</w:t>
      </w:r>
      <w:r w:rsidRPr="00EF0CD4">
        <w:rPr>
          <w:spacing w:val="-5"/>
        </w:rPr>
        <w:t xml:space="preserve"> </w:t>
      </w:r>
      <w:r w:rsidRPr="00EF0CD4">
        <w:t>Canvas</w:t>
      </w:r>
    </w:p>
    <w:p w14:paraId="18BCFB88" w14:textId="42B6092B" w:rsidR="00265724" w:rsidRPr="00EF0CD4" w:rsidRDefault="00265724" w:rsidP="00265724">
      <w:pPr>
        <w:tabs>
          <w:tab w:val="left" w:pos="1620"/>
        </w:tabs>
        <w:spacing w:line="252" w:lineRule="exact"/>
        <w:rPr>
          <w:color w:val="000000" w:themeColor="text1"/>
        </w:rPr>
      </w:pPr>
      <w:r w:rsidRPr="00EF0CD4">
        <w:rPr>
          <w:b/>
          <w:color w:val="000000" w:themeColor="text1"/>
        </w:rPr>
        <w:t xml:space="preserve">Office Hours: </w:t>
      </w:r>
      <w:r w:rsidRPr="00EF0CD4">
        <w:rPr>
          <w:color w:val="000000" w:themeColor="text1"/>
        </w:rPr>
        <w:t xml:space="preserve"> </w:t>
      </w:r>
      <w:r>
        <w:rPr>
          <w:color w:val="000000" w:themeColor="text1"/>
        </w:rPr>
        <w:tab/>
      </w:r>
      <w:r w:rsidRPr="00265724">
        <w:rPr>
          <w:i/>
          <w:iCs/>
          <w:color w:val="000000" w:themeColor="text1"/>
          <w:highlight w:val="yellow"/>
        </w:rPr>
        <w:t>TBD</w:t>
      </w:r>
      <w:r w:rsidRPr="00EF0CD4">
        <w:rPr>
          <w:color w:val="000000" w:themeColor="text1"/>
        </w:rPr>
        <w:t xml:space="preserve"> or by appointment </w:t>
      </w:r>
    </w:p>
    <w:p w14:paraId="779D6742" w14:textId="723B5916" w:rsidR="007A0D3C" w:rsidRDefault="00265724" w:rsidP="00265724">
      <w:pPr>
        <w:tabs>
          <w:tab w:val="left" w:pos="1620"/>
        </w:tabs>
        <w:spacing w:line="252" w:lineRule="exact"/>
        <w:rPr>
          <w:color w:val="000000" w:themeColor="text1"/>
        </w:rPr>
      </w:pPr>
      <w:r w:rsidRPr="00EF0CD4">
        <w:rPr>
          <w:b/>
          <w:color w:val="000000" w:themeColor="text1"/>
        </w:rPr>
        <w:t>TA:</w:t>
      </w:r>
      <w:r w:rsidRPr="00EF0CD4">
        <w:rPr>
          <w:color w:val="000000" w:themeColor="text1"/>
        </w:rPr>
        <w:t xml:space="preserve"> </w:t>
      </w:r>
      <w:r>
        <w:rPr>
          <w:color w:val="000000" w:themeColor="text1"/>
        </w:rPr>
        <w:tab/>
      </w:r>
      <w:r w:rsidR="007A0D3C">
        <w:rPr>
          <w:color w:val="000000" w:themeColor="text1"/>
        </w:rPr>
        <w:t>Mohamad Hasnain</w:t>
      </w:r>
      <w:r w:rsidRPr="00EF0CD4">
        <w:rPr>
          <w:color w:val="000000" w:themeColor="text1"/>
        </w:rPr>
        <w:t xml:space="preserve"> (</w:t>
      </w:r>
      <w:hyperlink r:id="rId5" w:history="1">
        <w:r w:rsidR="007A0D3C" w:rsidRPr="00B5568D">
          <w:rPr>
            <w:rStyle w:val="Hyperlink"/>
          </w:rPr>
          <w:t>m.hasnain@ufl.edu</w:t>
        </w:r>
      </w:hyperlink>
      <w:r w:rsidR="007A0D3C">
        <w:rPr>
          <w:color w:val="000000" w:themeColor="text1"/>
        </w:rPr>
        <w:t>)</w:t>
      </w:r>
    </w:p>
    <w:p w14:paraId="2C348498" w14:textId="69D59BCC" w:rsidR="007A0D3C" w:rsidRDefault="007A0D3C" w:rsidP="007A0D3C">
      <w:pPr>
        <w:tabs>
          <w:tab w:val="left" w:pos="1620"/>
        </w:tabs>
        <w:spacing w:line="252" w:lineRule="exact"/>
        <w:rPr>
          <w:color w:val="000000" w:themeColor="text1"/>
        </w:rPr>
      </w:pPr>
      <w:r>
        <w:rPr>
          <w:color w:val="000000" w:themeColor="text1"/>
        </w:rPr>
        <w:tab/>
        <w:t>Ahmed Bin Kabeer (</w:t>
      </w:r>
      <w:hyperlink r:id="rId6" w:history="1">
        <w:r w:rsidRPr="00B5568D">
          <w:rPr>
            <w:rStyle w:val="Hyperlink"/>
          </w:rPr>
          <w:t>a.rabbi@ufl.edu</w:t>
        </w:r>
      </w:hyperlink>
      <w:r>
        <w:rPr>
          <w:color w:val="000000" w:themeColor="text1"/>
        </w:rPr>
        <w:t>)</w:t>
      </w:r>
    </w:p>
    <w:p w14:paraId="19789D22" w14:textId="77777777" w:rsidR="00265724" w:rsidRPr="00EF0CD4" w:rsidRDefault="00265724" w:rsidP="00265724">
      <w:pPr>
        <w:spacing w:line="252" w:lineRule="exact"/>
        <w:rPr>
          <w:color w:val="000000" w:themeColor="text1"/>
        </w:rPr>
      </w:pPr>
      <w:r w:rsidRPr="00EF0CD4">
        <w:rPr>
          <w:b/>
          <w:color w:val="000000" w:themeColor="text1"/>
        </w:rPr>
        <w:t>TA office hours:</w:t>
      </w:r>
      <w:r w:rsidRPr="00EF0CD4">
        <w:rPr>
          <w:color w:val="000000" w:themeColor="text1"/>
        </w:rPr>
        <w:t xml:space="preserve"> </w:t>
      </w:r>
      <w:r w:rsidRPr="00265724">
        <w:rPr>
          <w:i/>
          <w:iCs/>
          <w:color w:val="000000" w:themeColor="text1"/>
          <w:highlight w:val="yellow"/>
        </w:rPr>
        <w:t>TBD</w:t>
      </w:r>
    </w:p>
    <w:p w14:paraId="5EB81C20" w14:textId="5C8A7FC0" w:rsidR="00265724" w:rsidRDefault="00265724" w:rsidP="00265724"/>
    <w:p w14:paraId="4853CD61" w14:textId="71941093" w:rsidR="00265724" w:rsidRDefault="00265724" w:rsidP="00265724">
      <w:r w:rsidRPr="00265724">
        <w:rPr>
          <w:b/>
          <w:bCs/>
        </w:rPr>
        <w:t>COURSE DESCRIPTION:</w:t>
      </w:r>
      <w:r w:rsidRPr="00265724">
        <w:t xml:space="preserve"> </w:t>
      </w:r>
      <w:r w:rsidR="007A0D3C" w:rsidRPr="007A0D3C">
        <w:t>Classification of work and quantity survey techniques.  Analysis and determination of costs of construction operations including direct and overhead costs, cost analysis, and preparation of bid proposals.</w:t>
      </w:r>
    </w:p>
    <w:p w14:paraId="7C83365B" w14:textId="77777777" w:rsidR="008C0BA0" w:rsidRDefault="008C0BA0" w:rsidP="00265724"/>
    <w:p w14:paraId="22B6F469" w14:textId="64372E2D" w:rsidR="008C0BA0" w:rsidRDefault="008C0BA0" w:rsidP="008C0BA0">
      <w:r w:rsidRPr="008C0BA0">
        <w:rPr>
          <w:b/>
          <w:bCs/>
        </w:rPr>
        <w:t>PREREQUISITE KNOWLEDGE AND SKILLS:</w:t>
      </w:r>
      <w:r>
        <w:rPr>
          <w:rFonts w:eastAsia="Calibri" w:cs="Calibri"/>
        </w:rPr>
        <w:t xml:space="preserve">  </w:t>
      </w:r>
      <w:r w:rsidRPr="008C0BA0">
        <w:rPr>
          <w:iCs/>
        </w:rPr>
        <w:t>Graduate Standing;</w:t>
      </w:r>
      <w:r w:rsidRPr="008C0BA0">
        <w:rPr>
          <w:i/>
        </w:rPr>
        <w:t xml:space="preserve"> </w:t>
      </w:r>
      <w:r w:rsidRPr="008C0BA0">
        <w:rPr>
          <w:iCs/>
        </w:rPr>
        <w:t>a</w:t>
      </w:r>
      <w:r w:rsidRPr="008C0BA0">
        <w:t>ble to read and measure plans; have knowledge of algebra, geometry, and trigonometry; be familiar with construction materials and methods.</w:t>
      </w:r>
    </w:p>
    <w:p w14:paraId="4C6E2A5E" w14:textId="77777777" w:rsidR="008C0BA0" w:rsidRDefault="008C0BA0" w:rsidP="00265724"/>
    <w:p w14:paraId="4FDABDF3" w14:textId="4D5802E4" w:rsidR="00265724" w:rsidRDefault="00265724" w:rsidP="00265724">
      <w:r w:rsidRPr="00EF0CD4">
        <w:rPr>
          <w:b/>
        </w:rPr>
        <w:t>INSTRUCTIONAL METHODS</w:t>
      </w:r>
      <w:r w:rsidRPr="00EF0CD4">
        <w:t xml:space="preserve">: </w:t>
      </w:r>
      <w:r w:rsidR="007A0D3C">
        <w:t>Flipped Classroom approach. Students will be required to watch lecture videos before the class. The class will involve in-class estimating exercises and discussions. There will be a few in-class lectures as well.</w:t>
      </w:r>
    </w:p>
    <w:p w14:paraId="4C524D2E" w14:textId="77777777" w:rsidR="008C0BA0" w:rsidRPr="008C0BA0" w:rsidRDefault="008C0BA0" w:rsidP="008C0BA0"/>
    <w:p w14:paraId="0C67BA1A" w14:textId="77777777" w:rsidR="008C0BA0" w:rsidRDefault="008C0BA0" w:rsidP="008C0BA0">
      <w:r w:rsidRPr="00265724">
        <w:rPr>
          <w:b/>
          <w:bCs/>
        </w:rPr>
        <w:t>PURPOSE OF COURSE</w:t>
      </w:r>
      <w:r>
        <w:rPr>
          <w:b/>
          <w:bCs/>
        </w:rPr>
        <w:t xml:space="preserve">: </w:t>
      </w:r>
      <w:r>
        <w:t>To teach the student the background and skills necessary to accurately estimate the cost of construction projects, prepare a complete and concise report of the estimated costs,</w:t>
      </w:r>
    </w:p>
    <w:p w14:paraId="025B2980" w14:textId="77777777" w:rsidR="008C0BA0" w:rsidRDefault="008C0BA0" w:rsidP="008C0BA0">
      <w:r>
        <w:t>submit a formal bid package, and use IT to assist in the preparation of the estimate.</w:t>
      </w:r>
    </w:p>
    <w:p w14:paraId="2AC3DE48" w14:textId="3733414E" w:rsidR="00265724" w:rsidRDefault="00265724" w:rsidP="00265724"/>
    <w:p w14:paraId="7E378CE9" w14:textId="77777777" w:rsidR="00265724" w:rsidRPr="00265724" w:rsidRDefault="00265724" w:rsidP="00265724">
      <w:pPr>
        <w:rPr>
          <w:b/>
          <w:bCs/>
        </w:rPr>
      </w:pPr>
      <w:r w:rsidRPr="00265724">
        <w:rPr>
          <w:b/>
          <w:bCs/>
        </w:rPr>
        <w:t>COURSE LEARNING OUTCOMES (CLOs):</w:t>
      </w:r>
    </w:p>
    <w:p w14:paraId="3425C640" w14:textId="77777777" w:rsidR="00265724" w:rsidRPr="00265724" w:rsidRDefault="00265724" w:rsidP="00265724">
      <w:r w:rsidRPr="00265724">
        <w:t>Upon completion of the course, students will demonstrate the ability to:</w:t>
      </w:r>
    </w:p>
    <w:p w14:paraId="43014BA0" w14:textId="285453DA" w:rsidR="008C0BA0" w:rsidRPr="008C0BA0" w:rsidRDefault="008C0BA0" w:rsidP="008C0BA0">
      <w:pPr>
        <w:pStyle w:val="ListParagraph"/>
        <w:widowControl/>
        <w:numPr>
          <w:ilvl w:val="0"/>
          <w:numId w:val="8"/>
        </w:numPr>
        <w:tabs>
          <w:tab w:val="left" w:pos="-1440"/>
        </w:tabs>
        <w:autoSpaceDE/>
        <w:autoSpaceDN/>
        <w:jc w:val="both"/>
        <w:rPr>
          <w:iCs/>
          <w:sz w:val="24"/>
          <w:szCs w:val="24"/>
        </w:rPr>
      </w:pPr>
      <w:r w:rsidRPr="008C0BA0">
        <w:rPr>
          <w:iCs/>
          <w:sz w:val="24"/>
          <w:szCs w:val="24"/>
        </w:rPr>
        <w:t xml:space="preserve">Recognize different types of estimates and their uses </w:t>
      </w:r>
    </w:p>
    <w:p w14:paraId="183A6274" w14:textId="50E49E63" w:rsidR="008C0BA0" w:rsidRDefault="008C0BA0" w:rsidP="008C0BA0">
      <w:pPr>
        <w:pStyle w:val="ListParagraph"/>
        <w:widowControl/>
        <w:numPr>
          <w:ilvl w:val="0"/>
          <w:numId w:val="8"/>
        </w:numPr>
        <w:tabs>
          <w:tab w:val="left" w:pos="-1440"/>
        </w:tabs>
        <w:autoSpaceDE/>
        <w:autoSpaceDN/>
        <w:jc w:val="both"/>
        <w:rPr>
          <w:iCs/>
          <w:sz w:val="24"/>
          <w:szCs w:val="24"/>
        </w:rPr>
      </w:pPr>
      <w:r w:rsidRPr="008C0BA0">
        <w:rPr>
          <w:iCs/>
          <w:sz w:val="24"/>
          <w:szCs w:val="24"/>
        </w:rPr>
        <w:t>Perform quantity takeoffs based on the drawings and specifications and generate</w:t>
      </w:r>
      <w:r>
        <w:rPr>
          <w:iCs/>
          <w:sz w:val="24"/>
          <w:szCs w:val="24"/>
        </w:rPr>
        <w:t xml:space="preserve"> </w:t>
      </w:r>
      <w:r w:rsidRPr="008C0BA0">
        <w:rPr>
          <w:iCs/>
          <w:sz w:val="24"/>
          <w:szCs w:val="24"/>
        </w:rPr>
        <w:t>detailed</w:t>
      </w:r>
      <w:r>
        <w:rPr>
          <w:iCs/>
          <w:sz w:val="24"/>
          <w:szCs w:val="24"/>
        </w:rPr>
        <w:t xml:space="preserve"> </w:t>
      </w:r>
      <w:r w:rsidRPr="008C0BA0">
        <w:rPr>
          <w:iCs/>
          <w:sz w:val="24"/>
          <w:szCs w:val="24"/>
        </w:rPr>
        <w:t>estimates</w:t>
      </w:r>
      <w:r>
        <w:rPr>
          <w:iCs/>
          <w:sz w:val="24"/>
          <w:szCs w:val="24"/>
        </w:rPr>
        <w:t>.</w:t>
      </w:r>
    </w:p>
    <w:p w14:paraId="6D38A446" w14:textId="77777777" w:rsidR="008C0BA0" w:rsidRDefault="008C0BA0" w:rsidP="008C0BA0">
      <w:pPr>
        <w:pStyle w:val="ListParagraph"/>
        <w:widowControl/>
        <w:numPr>
          <w:ilvl w:val="0"/>
          <w:numId w:val="8"/>
        </w:numPr>
        <w:tabs>
          <w:tab w:val="left" w:pos="-1440"/>
        </w:tabs>
        <w:autoSpaceDE/>
        <w:autoSpaceDN/>
        <w:jc w:val="both"/>
        <w:rPr>
          <w:iCs/>
          <w:sz w:val="24"/>
          <w:szCs w:val="24"/>
        </w:rPr>
      </w:pPr>
      <w:r w:rsidRPr="008C0BA0">
        <w:rPr>
          <w:iCs/>
          <w:sz w:val="24"/>
          <w:szCs w:val="24"/>
        </w:rPr>
        <w:t xml:space="preserve">Accurately estimate the cost of construction projects including direct and indirect costs </w:t>
      </w:r>
    </w:p>
    <w:p w14:paraId="73CF6D71" w14:textId="33783616" w:rsidR="008C0BA0" w:rsidRDefault="008C0BA0" w:rsidP="008C0BA0">
      <w:pPr>
        <w:pStyle w:val="ListParagraph"/>
        <w:widowControl/>
        <w:numPr>
          <w:ilvl w:val="0"/>
          <w:numId w:val="8"/>
        </w:numPr>
        <w:tabs>
          <w:tab w:val="left" w:pos="-1440"/>
        </w:tabs>
        <w:autoSpaceDE/>
        <w:autoSpaceDN/>
        <w:jc w:val="both"/>
        <w:rPr>
          <w:iCs/>
          <w:sz w:val="24"/>
          <w:szCs w:val="24"/>
        </w:rPr>
      </w:pPr>
      <w:r w:rsidRPr="008C0BA0">
        <w:rPr>
          <w:iCs/>
          <w:sz w:val="24"/>
          <w:szCs w:val="24"/>
        </w:rPr>
        <w:t>Assemble a complete and concise report of the estimated costs of a project and</w:t>
      </w:r>
      <w:r>
        <w:rPr>
          <w:iCs/>
          <w:sz w:val="24"/>
          <w:szCs w:val="24"/>
        </w:rPr>
        <w:t xml:space="preserve"> s</w:t>
      </w:r>
      <w:r w:rsidRPr="008C0BA0">
        <w:rPr>
          <w:iCs/>
          <w:sz w:val="24"/>
          <w:szCs w:val="24"/>
        </w:rPr>
        <w:t>ubmit a formal bid package</w:t>
      </w:r>
      <w:r>
        <w:rPr>
          <w:iCs/>
          <w:sz w:val="24"/>
          <w:szCs w:val="24"/>
        </w:rPr>
        <w:t>.</w:t>
      </w:r>
    </w:p>
    <w:p w14:paraId="782EF71B" w14:textId="1944E0AC" w:rsidR="008C0BA0" w:rsidRPr="008C0BA0" w:rsidRDefault="008C0BA0" w:rsidP="008C0BA0">
      <w:pPr>
        <w:pStyle w:val="ListParagraph"/>
        <w:widowControl/>
        <w:numPr>
          <w:ilvl w:val="0"/>
          <w:numId w:val="8"/>
        </w:numPr>
        <w:tabs>
          <w:tab w:val="left" w:pos="-1440"/>
        </w:tabs>
        <w:autoSpaceDE/>
        <w:autoSpaceDN/>
        <w:jc w:val="both"/>
        <w:rPr>
          <w:iCs/>
          <w:sz w:val="24"/>
          <w:szCs w:val="24"/>
        </w:rPr>
      </w:pPr>
      <w:r w:rsidRPr="008C0BA0">
        <w:rPr>
          <w:iCs/>
          <w:sz w:val="24"/>
          <w:szCs w:val="24"/>
        </w:rPr>
        <w:t xml:space="preserve">Prepare and use construction cost </w:t>
      </w:r>
      <w:r>
        <w:rPr>
          <w:iCs/>
          <w:sz w:val="24"/>
          <w:szCs w:val="24"/>
        </w:rPr>
        <w:t>databases</w:t>
      </w:r>
      <w:r w:rsidRPr="008C0BA0">
        <w:rPr>
          <w:iCs/>
          <w:sz w:val="24"/>
          <w:szCs w:val="24"/>
        </w:rPr>
        <w:t xml:space="preserve"> and use IT to assist in the preparation of</w:t>
      </w:r>
      <w:r>
        <w:rPr>
          <w:iCs/>
          <w:sz w:val="24"/>
          <w:szCs w:val="24"/>
        </w:rPr>
        <w:t xml:space="preserve"> </w:t>
      </w:r>
      <w:r w:rsidRPr="008C0BA0">
        <w:rPr>
          <w:iCs/>
          <w:sz w:val="24"/>
          <w:szCs w:val="24"/>
        </w:rPr>
        <w:t>the estimate</w:t>
      </w:r>
      <w:r>
        <w:rPr>
          <w:iCs/>
          <w:sz w:val="24"/>
          <w:szCs w:val="24"/>
        </w:rPr>
        <w:t>.</w:t>
      </w:r>
    </w:p>
    <w:p w14:paraId="506B1BFD" w14:textId="4FD1D60F" w:rsidR="004D19CC" w:rsidRDefault="004D19CC" w:rsidP="004D19CC"/>
    <w:p w14:paraId="400DCEF9" w14:textId="6CC9F1E8" w:rsidR="004D19CC" w:rsidRDefault="004D19CC" w:rsidP="004D19CC"/>
    <w:p w14:paraId="1A524E1D" w14:textId="628B79B0" w:rsidR="004D19CC" w:rsidRDefault="004D19CC" w:rsidP="004D19CC"/>
    <w:p w14:paraId="1BC835E6" w14:textId="6AC86DAD" w:rsidR="004D19CC" w:rsidRDefault="004D19CC" w:rsidP="004D19CC"/>
    <w:p w14:paraId="26247DBC" w14:textId="77777777" w:rsidR="004D19CC" w:rsidRDefault="004D19CC" w:rsidP="004D19CC"/>
    <w:p w14:paraId="542F3471" w14:textId="77777777" w:rsidR="004D19CC" w:rsidRPr="00663BA2" w:rsidRDefault="004D19CC" w:rsidP="004D19CC">
      <w:pPr>
        <w:pStyle w:val="BodyText"/>
        <w:jc w:val="center"/>
        <w:rPr>
          <w:b/>
          <w:bCs/>
          <w:sz w:val="22"/>
          <w:szCs w:val="22"/>
        </w:rPr>
      </w:pPr>
      <w:r w:rsidRPr="00663BA2">
        <w:rPr>
          <w:b/>
          <w:bCs/>
          <w:sz w:val="22"/>
          <w:szCs w:val="22"/>
        </w:rPr>
        <w:lastRenderedPageBreak/>
        <w:t>Table 1: Assessment Strategy</w:t>
      </w:r>
    </w:p>
    <w:tbl>
      <w:tblPr>
        <w:tblStyle w:val="TableGrid"/>
        <w:tblW w:w="9810" w:type="dxa"/>
        <w:tblLayout w:type="fixed"/>
        <w:tblLook w:val="04A0" w:firstRow="1" w:lastRow="0" w:firstColumn="1" w:lastColumn="0" w:noHBand="0" w:noVBand="1"/>
      </w:tblPr>
      <w:tblGrid>
        <w:gridCol w:w="1620"/>
        <w:gridCol w:w="900"/>
        <w:gridCol w:w="900"/>
        <w:gridCol w:w="900"/>
        <w:gridCol w:w="900"/>
        <w:gridCol w:w="900"/>
        <w:gridCol w:w="3690"/>
      </w:tblGrid>
      <w:tr w:rsidR="008C0BA0" w:rsidRPr="00544FB0" w14:paraId="65FB764C" w14:textId="77777777" w:rsidTr="008C0BA0">
        <w:trPr>
          <w:trHeight w:hRule="exact" w:val="524"/>
        </w:trPr>
        <w:tc>
          <w:tcPr>
            <w:tcW w:w="1620" w:type="dxa"/>
            <w:hideMark/>
          </w:tcPr>
          <w:p w14:paraId="77D0E75B" w14:textId="77777777" w:rsidR="008C0BA0" w:rsidRPr="008C0BA0" w:rsidRDefault="008C0BA0" w:rsidP="00C66114">
            <w:pPr>
              <w:rPr>
                <w:rFonts w:cs="Calibri"/>
                <w:i/>
                <w:szCs w:val="24"/>
              </w:rPr>
            </w:pPr>
            <w:r w:rsidRPr="008C0BA0">
              <w:rPr>
                <w:rFonts w:cs="Calibri"/>
                <w:b/>
                <w:bCs/>
                <w:i/>
                <w:kern w:val="24"/>
                <w:szCs w:val="24"/>
              </w:rPr>
              <w:t xml:space="preserve">Assessment </w:t>
            </w:r>
          </w:p>
        </w:tc>
        <w:tc>
          <w:tcPr>
            <w:tcW w:w="900" w:type="dxa"/>
            <w:hideMark/>
          </w:tcPr>
          <w:p w14:paraId="24487A2F" w14:textId="77777777" w:rsidR="008C0BA0" w:rsidRPr="008C0BA0" w:rsidRDefault="008C0BA0" w:rsidP="00C66114">
            <w:pPr>
              <w:jc w:val="center"/>
              <w:rPr>
                <w:rFonts w:cs="Calibri"/>
                <w:i/>
                <w:szCs w:val="24"/>
              </w:rPr>
            </w:pPr>
            <w:r w:rsidRPr="008C0BA0">
              <w:rPr>
                <w:rFonts w:cs="Calibri"/>
                <w:b/>
                <w:bCs/>
                <w:i/>
                <w:kern w:val="24"/>
                <w:szCs w:val="24"/>
              </w:rPr>
              <w:t>CLO 1</w:t>
            </w:r>
          </w:p>
        </w:tc>
        <w:tc>
          <w:tcPr>
            <w:tcW w:w="900" w:type="dxa"/>
            <w:hideMark/>
          </w:tcPr>
          <w:p w14:paraId="0B8414C0" w14:textId="77777777" w:rsidR="008C0BA0" w:rsidRPr="008C0BA0" w:rsidRDefault="008C0BA0" w:rsidP="00C66114">
            <w:pPr>
              <w:jc w:val="center"/>
              <w:rPr>
                <w:rFonts w:cs="Calibri"/>
                <w:i/>
                <w:szCs w:val="24"/>
              </w:rPr>
            </w:pPr>
            <w:r w:rsidRPr="008C0BA0">
              <w:rPr>
                <w:rFonts w:cs="Calibri"/>
                <w:b/>
                <w:bCs/>
                <w:i/>
                <w:kern w:val="24"/>
                <w:szCs w:val="24"/>
              </w:rPr>
              <w:t>CLO 2</w:t>
            </w:r>
          </w:p>
        </w:tc>
        <w:tc>
          <w:tcPr>
            <w:tcW w:w="900" w:type="dxa"/>
            <w:hideMark/>
          </w:tcPr>
          <w:p w14:paraId="651CBBA6" w14:textId="77777777" w:rsidR="008C0BA0" w:rsidRPr="008C0BA0" w:rsidRDefault="008C0BA0" w:rsidP="00C66114">
            <w:pPr>
              <w:jc w:val="center"/>
              <w:rPr>
                <w:rFonts w:cs="Calibri"/>
                <w:i/>
                <w:szCs w:val="24"/>
              </w:rPr>
            </w:pPr>
            <w:r w:rsidRPr="008C0BA0">
              <w:rPr>
                <w:rFonts w:cs="Calibri"/>
                <w:b/>
                <w:bCs/>
                <w:i/>
                <w:kern w:val="24"/>
                <w:szCs w:val="24"/>
              </w:rPr>
              <w:t>CLO 3</w:t>
            </w:r>
          </w:p>
        </w:tc>
        <w:tc>
          <w:tcPr>
            <w:tcW w:w="900" w:type="dxa"/>
            <w:hideMark/>
          </w:tcPr>
          <w:p w14:paraId="1A57CE76" w14:textId="77777777" w:rsidR="008C0BA0" w:rsidRPr="008C0BA0" w:rsidRDefault="008C0BA0" w:rsidP="00C66114">
            <w:pPr>
              <w:jc w:val="center"/>
              <w:rPr>
                <w:rFonts w:cs="Calibri"/>
                <w:i/>
                <w:szCs w:val="24"/>
              </w:rPr>
            </w:pPr>
            <w:r w:rsidRPr="008C0BA0">
              <w:rPr>
                <w:rFonts w:cs="Calibri"/>
                <w:b/>
                <w:bCs/>
                <w:i/>
                <w:kern w:val="24"/>
                <w:szCs w:val="24"/>
              </w:rPr>
              <w:t>CLO 4</w:t>
            </w:r>
          </w:p>
        </w:tc>
        <w:tc>
          <w:tcPr>
            <w:tcW w:w="900" w:type="dxa"/>
            <w:hideMark/>
          </w:tcPr>
          <w:p w14:paraId="359841B6" w14:textId="77777777" w:rsidR="008C0BA0" w:rsidRPr="008C0BA0" w:rsidRDefault="008C0BA0" w:rsidP="00C66114">
            <w:pPr>
              <w:jc w:val="center"/>
              <w:rPr>
                <w:rFonts w:cs="Calibri"/>
                <w:i/>
                <w:szCs w:val="24"/>
              </w:rPr>
            </w:pPr>
            <w:r w:rsidRPr="008C0BA0">
              <w:rPr>
                <w:rFonts w:cs="Calibri"/>
                <w:b/>
                <w:bCs/>
                <w:i/>
                <w:kern w:val="24"/>
                <w:szCs w:val="24"/>
              </w:rPr>
              <w:t>CLO 5</w:t>
            </w:r>
          </w:p>
        </w:tc>
        <w:tc>
          <w:tcPr>
            <w:tcW w:w="3690" w:type="dxa"/>
          </w:tcPr>
          <w:p w14:paraId="2D1DA97A" w14:textId="77777777" w:rsidR="008C0BA0" w:rsidRPr="008C0BA0" w:rsidRDefault="008C0BA0" w:rsidP="00C66114">
            <w:pPr>
              <w:jc w:val="center"/>
              <w:rPr>
                <w:rFonts w:cs="Calibri"/>
                <w:b/>
                <w:bCs/>
                <w:i/>
                <w:kern w:val="24"/>
                <w:szCs w:val="24"/>
              </w:rPr>
            </w:pPr>
            <w:r w:rsidRPr="008C0BA0">
              <w:rPr>
                <w:rFonts w:cs="Calibri"/>
                <w:b/>
                <w:bCs/>
                <w:i/>
                <w:kern w:val="24"/>
                <w:szCs w:val="24"/>
              </w:rPr>
              <w:t>Target</w:t>
            </w:r>
          </w:p>
        </w:tc>
      </w:tr>
      <w:tr w:rsidR="008C0BA0" w:rsidRPr="00544FB0" w14:paraId="55E064B2" w14:textId="77777777" w:rsidTr="008C0BA0">
        <w:trPr>
          <w:trHeight w:hRule="exact" w:val="551"/>
        </w:trPr>
        <w:tc>
          <w:tcPr>
            <w:tcW w:w="1620" w:type="dxa"/>
          </w:tcPr>
          <w:p w14:paraId="7AF63EA9" w14:textId="77777777" w:rsidR="008C0BA0" w:rsidRPr="006D1C02" w:rsidRDefault="008C0BA0" w:rsidP="00C66114">
            <w:pPr>
              <w:rPr>
                <w:rFonts w:cs="Calibri"/>
                <w:i/>
                <w:color w:val="000000"/>
                <w:kern w:val="24"/>
                <w:szCs w:val="24"/>
              </w:rPr>
            </w:pPr>
            <w:r w:rsidRPr="006D1C02">
              <w:rPr>
                <w:rFonts w:cs="Calibri"/>
                <w:i/>
                <w:color w:val="000000"/>
                <w:kern w:val="24"/>
                <w:szCs w:val="24"/>
              </w:rPr>
              <w:t>Quiz 1</w:t>
            </w:r>
          </w:p>
        </w:tc>
        <w:tc>
          <w:tcPr>
            <w:tcW w:w="900" w:type="dxa"/>
          </w:tcPr>
          <w:p w14:paraId="53CEDFAA" w14:textId="77777777" w:rsidR="008C0BA0" w:rsidRPr="006D1C02" w:rsidRDefault="008C0BA0" w:rsidP="00C66114">
            <w:pPr>
              <w:jc w:val="center"/>
              <w:rPr>
                <w:rFonts w:cs="Calibri"/>
                <w:i/>
                <w:szCs w:val="24"/>
              </w:rPr>
            </w:pPr>
            <w:r w:rsidRPr="006D1C02">
              <w:rPr>
                <w:rFonts w:cs="Calibri"/>
                <w:i/>
                <w:szCs w:val="24"/>
              </w:rPr>
              <w:t>X</w:t>
            </w:r>
          </w:p>
        </w:tc>
        <w:tc>
          <w:tcPr>
            <w:tcW w:w="900" w:type="dxa"/>
          </w:tcPr>
          <w:p w14:paraId="426769C7" w14:textId="77777777" w:rsidR="008C0BA0" w:rsidRPr="006D1C02" w:rsidRDefault="008C0BA0" w:rsidP="00C66114">
            <w:pPr>
              <w:jc w:val="center"/>
              <w:rPr>
                <w:rFonts w:cs="Calibri"/>
                <w:i/>
                <w:color w:val="000000"/>
                <w:kern w:val="24"/>
                <w:szCs w:val="24"/>
              </w:rPr>
            </w:pPr>
          </w:p>
        </w:tc>
        <w:tc>
          <w:tcPr>
            <w:tcW w:w="900" w:type="dxa"/>
          </w:tcPr>
          <w:p w14:paraId="1451DC26" w14:textId="77777777" w:rsidR="008C0BA0" w:rsidRPr="006D1C02" w:rsidRDefault="008C0BA0" w:rsidP="00C66114">
            <w:pPr>
              <w:jc w:val="center"/>
              <w:rPr>
                <w:rFonts w:cs="Calibri"/>
                <w:i/>
                <w:szCs w:val="24"/>
              </w:rPr>
            </w:pPr>
          </w:p>
        </w:tc>
        <w:tc>
          <w:tcPr>
            <w:tcW w:w="900" w:type="dxa"/>
          </w:tcPr>
          <w:p w14:paraId="23776404" w14:textId="77777777" w:rsidR="008C0BA0" w:rsidRPr="006D1C02" w:rsidRDefault="008C0BA0" w:rsidP="00C66114">
            <w:pPr>
              <w:jc w:val="center"/>
              <w:rPr>
                <w:rFonts w:cs="Calibri"/>
                <w:i/>
                <w:szCs w:val="24"/>
              </w:rPr>
            </w:pPr>
          </w:p>
        </w:tc>
        <w:tc>
          <w:tcPr>
            <w:tcW w:w="900" w:type="dxa"/>
          </w:tcPr>
          <w:p w14:paraId="3644A87F" w14:textId="77777777" w:rsidR="008C0BA0" w:rsidRPr="006D1C02" w:rsidRDefault="008C0BA0" w:rsidP="00C66114">
            <w:pPr>
              <w:jc w:val="center"/>
              <w:rPr>
                <w:rFonts w:cs="Calibri"/>
                <w:i/>
                <w:szCs w:val="24"/>
              </w:rPr>
            </w:pPr>
          </w:p>
        </w:tc>
        <w:tc>
          <w:tcPr>
            <w:tcW w:w="3690" w:type="dxa"/>
          </w:tcPr>
          <w:p w14:paraId="0300EF13" w14:textId="77777777" w:rsidR="008C0BA0" w:rsidRPr="006D1C02" w:rsidRDefault="008C0BA0" w:rsidP="00C66114">
            <w:pPr>
              <w:jc w:val="center"/>
              <w:rPr>
                <w:rFonts w:cs="Calibri"/>
                <w:i/>
                <w:color w:val="000000"/>
                <w:kern w:val="24"/>
                <w:szCs w:val="24"/>
              </w:rPr>
            </w:pPr>
            <w:r w:rsidRPr="006D1C02">
              <w:rPr>
                <w:rFonts w:cs="Calibri"/>
                <w:i/>
                <w:color w:val="000000"/>
                <w:kern w:val="24"/>
                <w:szCs w:val="24"/>
              </w:rPr>
              <w:t>At least 80% receive a 70% or better</w:t>
            </w:r>
          </w:p>
        </w:tc>
      </w:tr>
      <w:tr w:rsidR="008C0BA0" w:rsidRPr="00544FB0" w14:paraId="03FFC37F" w14:textId="77777777" w:rsidTr="008C0BA0">
        <w:trPr>
          <w:trHeight w:hRule="exact" w:val="650"/>
        </w:trPr>
        <w:tc>
          <w:tcPr>
            <w:tcW w:w="1620" w:type="dxa"/>
          </w:tcPr>
          <w:p w14:paraId="1C83F4BC" w14:textId="4FC450F6" w:rsidR="008C0BA0" w:rsidRPr="006D1C02" w:rsidRDefault="008C0BA0" w:rsidP="00C66114">
            <w:pPr>
              <w:rPr>
                <w:rFonts w:cs="Calibri"/>
                <w:i/>
                <w:color w:val="000000"/>
                <w:kern w:val="24"/>
                <w:szCs w:val="24"/>
              </w:rPr>
            </w:pPr>
            <w:r w:rsidRPr="006D1C02">
              <w:rPr>
                <w:rFonts w:cs="Calibri"/>
                <w:i/>
                <w:color w:val="000000"/>
                <w:kern w:val="24"/>
                <w:szCs w:val="24"/>
              </w:rPr>
              <w:t xml:space="preserve">Assignment </w:t>
            </w:r>
            <w:r w:rsidR="00572366">
              <w:rPr>
                <w:rFonts w:cs="Calibri"/>
                <w:i/>
                <w:color w:val="000000"/>
                <w:kern w:val="24"/>
                <w:szCs w:val="24"/>
              </w:rPr>
              <w:t>2</w:t>
            </w:r>
            <w:r w:rsidRPr="006D1C02">
              <w:rPr>
                <w:rFonts w:cs="Calibri"/>
                <w:i/>
                <w:color w:val="000000"/>
                <w:kern w:val="24"/>
                <w:szCs w:val="24"/>
              </w:rPr>
              <w:t xml:space="preserve"> </w:t>
            </w:r>
          </w:p>
        </w:tc>
        <w:tc>
          <w:tcPr>
            <w:tcW w:w="900" w:type="dxa"/>
          </w:tcPr>
          <w:p w14:paraId="0D508247" w14:textId="77777777" w:rsidR="008C0BA0" w:rsidRPr="006D1C02" w:rsidRDefault="008C0BA0" w:rsidP="00C66114">
            <w:pPr>
              <w:jc w:val="center"/>
              <w:rPr>
                <w:rFonts w:cs="Calibri"/>
                <w:i/>
                <w:szCs w:val="24"/>
              </w:rPr>
            </w:pPr>
          </w:p>
        </w:tc>
        <w:tc>
          <w:tcPr>
            <w:tcW w:w="900" w:type="dxa"/>
          </w:tcPr>
          <w:p w14:paraId="64A29730" w14:textId="77777777" w:rsidR="008C0BA0" w:rsidRPr="006D1C02" w:rsidRDefault="008C0BA0" w:rsidP="00C66114">
            <w:pPr>
              <w:jc w:val="center"/>
              <w:rPr>
                <w:rFonts w:cs="Calibri"/>
                <w:i/>
                <w:color w:val="000000"/>
                <w:kern w:val="24"/>
                <w:szCs w:val="24"/>
              </w:rPr>
            </w:pPr>
          </w:p>
        </w:tc>
        <w:tc>
          <w:tcPr>
            <w:tcW w:w="900" w:type="dxa"/>
          </w:tcPr>
          <w:p w14:paraId="4C8EEB85" w14:textId="77777777" w:rsidR="008C0BA0" w:rsidRPr="006D1C02" w:rsidRDefault="008C0BA0" w:rsidP="00C66114">
            <w:pPr>
              <w:jc w:val="center"/>
              <w:rPr>
                <w:rFonts w:cs="Calibri"/>
                <w:i/>
                <w:szCs w:val="24"/>
              </w:rPr>
            </w:pPr>
          </w:p>
        </w:tc>
        <w:tc>
          <w:tcPr>
            <w:tcW w:w="900" w:type="dxa"/>
          </w:tcPr>
          <w:p w14:paraId="21EE3A6A" w14:textId="77777777" w:rsidR="008C0BA0" w:rsidRPr="006D1C02" w:rsidRDefault="008C0BA0" w:rsidP="00C66114">
            <w:pPr>
              <w:jc w:val="center"/>
              <w:rPr>
                <w:rFonts w:cs="Calibri"/>
                <w:i/>
                <w:szCs w:val="24"/>
              </w:rPr>
            </w:pPr>
          </w:p>
        </w:tc>
        <w:tc>
          <w:tcPr>
            <w:tcW w:w="900" w:type="dxa"/>
          </w:tcPr>
          <w:p w14:paraId="4B43B9F7" w14:textId="77777777" w:rsidR="008C0BA0" w:rsidRPr="006D1C02" w:rsidRDefault="008C0BA0" w:rsidP="00C66114">
            <w:pPr>
              <w:jc w:val="center"/>
              <w:rPr>
                <w:rFonts w:cs="Calibri"/>
                <w:i/>
                <w:szCs w:val="24"/>
              </w:rPr>
            </w:pPr>
            <w:r w:rsidRPr="006D1C02">
              <w:rPr>
                <w:rFonts w:cs="Calibri"/>
                <w:i/>
                <w:szCs w:val="24"/>
              </w:rPr>
              <w:t>X</w:t>
            </w:r>
          </w:p>
        </w:tc>
        <w:tc>
          <w:tcPr>
            <w:tcW w:w="3690" w:type="dxa"/>
          </w:tcPr>
          <w:p w14:paraId="0042212F" w14:textId="77777777" w:rsidR="008C0BA0" w:rsidRPr="006D1C02" w:rsidRDefault="008C0BA0" w:rsidP="00C66114">
            <w:pPr>
              <w:jc w:val="center"/>
              <w:rPr>
                <w:rFonts w:cs="Calibri"/>
                <w:i/>
                <w:color w:val="000000"/>
                <w:kern w:val="24"/>
                <w:szCs w:val="24"/>
              </w:rPr>
            </w:pPr>
            <w:r w:rsidRPr="006D1C02">
              <w:rPr>
                <w:rFonts w:cs="Calibri"/>
                <w:i/>
                <w:color w:val="000000"/>
                <w:kern w:val="24"/>
                <w:szCs w:val="24"/>
              </w:rPr>
              <w:t>At least 80% receive an 80% or better</w:t>
            </w:r>
          </w:p>
        </w:tc>
      </w:tr>
      <w:tr w:rsidR="008C0BA0" w:rsidRPr="00544FB0" w14:paraId="3DAF1094" w14:textId="77777777" w:rsidTr="008C0BA0">
        <w:trPr>
          <w:trHeight w:hRule="exact" w:val="560"/>
        </w:trPr>
        <w:tc>
          <w:tcPr>
            <w:tcW w:w="1620" w:type="dxa"/>
            <w:hideMark/>
          </w:tcPr>
          <w:p w14:paraId="05FB9431" w14:textId="77777777" w:rsidR="008C0BA0" w:rsidRPr="006D1C02" w:rsidRDefault="008C0BA0" w:rsidP="00C66114">
            <w:pPr>
              <w:rPr>
                <w:rFonts w:cs="Calibri"/>
                <w:i/>
                <w:szCs w:val="24"/>
              </w:rPr>
            </w:pPr>
            <w:r w:rsidRPr="006D1C02">
              <w:rPr>
                <w:rFonts w:cs="Calibri"/>
                <w:i/>
                <w:color w:val="000000"/>
                <w:kern w:val="24"/>
                <w:szCs w:val="24"/>
              </w:rPr>
              <w:t>Final Exam</w:t>
            </w:r>
          </w:p>
        </w:tc>
        <w:tc>
          <w:tcPr>
            <w:tcW w:w="900" w:type="dxa"/>
            <w:hideMark/>
          </w:tcPr>
          <w:p w14:paraId="1F70CE5E" w14:textId="77777777" w:rsidR="008C0BA0" w:rsidRPr="006D1C02" w:rsidRDefault="008C0BA0" w:rsidP="00C66114">
            <w:pPr>
              <w:jc w:val="center"/>
              <w:rPr>
                <w:rFonts w:cs="Calibri"/>
                <w:i/>
                <w:szCs w:val="24"/>
              </w:rPr>
            </w:pPr>
          </w:p>
        </w:tc>
        <w:tc>
          <w:tcPr>
            <w:tcW w:w="900" w:type="dxa"/>
            <w:hideMark/>
          </w:tcPr>
          <w:p w14:paraId="45A9A00A" w14:textId="77777777" w:rsidR="008C0BA0" w:rsidRPr="006D1C02" w:rsidRDefault="008C0BA0" w:rsidP="00C66114">
            <w:pPr>
              <w:jc w:val="center"/>
              <w:rPr>
                <w:rFonts w:cs="Calibri"/>
                <w:i/>
                <w:szCs w:val="24"/>
              </w:rPr>
            </w:pPr>
            <w:r w:rsidRPr="006D1C02">
              <w:rPr>
                <w:rFonts w:cs="Calibri"/>
                <w:i/>
                <w:color w:val="000000"/>
                <w:kern w:val="24"/>
                <w:szCs w:val="24"/>
              </w:rPr>
              <w:t>X</w:t>
            </w:r>
          </w:p>
        </w:tc>
        <w:tc>
          <w:tcPr>
            <w:tcW w:w="900" w:type="dxa"/>
            <w:hideMark/>
          </w:tcPr>
          <w:p w14:paraId="176D8C18" w14:textId="77777777" w:rsidR="008C0BA0" w:rsidRPr="006D1C02" w:rsidRDefault="008C0BA0" w:rsidP="00C66114">
            <w:pPr>
              <w:jc w:val="center"/>
              <w:rPr>
                <w:rFonts w:cs="Calibri"/>
                <w:i/>
                <w:szCs w:val="24"/>
              </w:rPr>
            </w:pPr>
          </w:p>
        </w:tc>
        <w:tc>
          <w:tcPr>
            <w:tcW w:w="900" w:type="dxa"/>
            <w:hideMark/>
          </w:tcPr>
          <w:p w14:paraId="60A43874" w14:textId="77777777" w:rsidR="008C0BA0" w:rsidRPr="006D1C02" w:rsidRDefault="008C0BA0" w:rsidP="00C66114">
            <w:pPr>
              <w:jc w:val="center"/>
              <w:rPr>
                <w:rFonts w:cs="Calibri"/>
                <w:i/>
                <w:szCs w:val="24"/>
              </w:rPr>
            </w:pPr>
          </w:p>
        </w:tc>
        <w:tc>
          <w:tcPr>
            <w:tcW w:w="900" w:type="dxa"/>
            <w:hideMark/>
          </w:tcPr>
          <w:p w14:paraId="17169BC6" w14:textId="77777777" w:rsidR="008C0BA0" w:rsidRPr="006D1C02" w:rsidRDefault="008C0BA0" w:rsidP="00C66114">
            <w:pPr>
              <w:jc w:val="center"/>
              <w:rPr>
                <w:rFonts w:cs="Calibri"/>
                <w:i/>
                <w:szCs w:val="24"/>
              </w:rPr>
            </w:pPr>
          </w:p>
        </w:tc>
        <w:tc>
          <w:tcPr>
            <w:tcW w:w="3690" w:type="dxa"/>
          </w:tcPr>
          <w:p w14:paraId="5962C868" w14:textId="77777777" w:rsidR="008C0BA0" w:rsidRPr="006D1C02" w:rsidRDefault="008C0BA0" w:rsidP="00C66114">
            <w:pPr>
              <w:jc w:val="center"/>
              <w:rPr>
                <w:rFonts w:cs="Calibri"/>
                <w:i/>
                <w:szCs w:val="24"/>
              </w:rPr>
            </w:pPr>
            <w:r w:rsidRPr="006D1C02">
              <w:rPr>
                <w:rFonts w:cs="Calibri"/>
                <w:i/>
                <w:color w:val="000000"/>
                <w:kern w:val="24"/>
                <w:szCs w:val="24"/>
              </w:rPr>
              <w:t>At least 80% receive a 70% or better</w:t>
            </w:r>
          </w:p>
        </w:tc>
      </w:tr>
      <w:tr w:rsidR="008C0BA0" w:rsidRPr="00544FB0" w14:paraId="72E2ED6B" w14:textId="77777777" w:rsidTr="008C0BA0">
        <w:trPr>
          <w:trHeight w:hRule="exact" w:val="560"/>
        </w:trPr>
        <w:tc>
          <w:tcPr>
            <w:tcW w:w="1620" w:type="dxa"/>
            <w:hideMark/>
          </w:tcPr>
          <w:p w14:paraId="001BCC98" w14:textId="77777777" w:rsidR="008C0BA0" w:rsidRPr="006D1C02" w:rsidRDefault="008C0BA0" w:rsidP="00C66114">
            <w:pPr>
              <w:rPr>
                <w:rFonts w:cs="Calibri"/>
                <w:i/>
                <w:szCs w:val="24"/>
              </w:rPr>
            </w:pPr>
            <w:r w:rsidRPr="006D1C02">
              <w:rPr>
                <w:rFonts w:cs="Calibri"/>
                <w:i/>
                <w:color w:val="000000"/>
                <w:kern w:val="24"/>
                <w:szCs w:val="24"/>
              </w:rPr>
              <w:t xml:space="preserve">Project </w:t>
            </w:r>
          </w:p>
        </w:tc>
        <w:tc>
          <w:tcPr>
            <w:tcW w:w="900" w:type="dxa"/>
            <w:hideMark/>
          </w:tcPr>
          <w:p w14:paraId="458499FE" w14:textId="77777777" w:rsidR="008C0BA0" w:rsidRPr="006D1C02" w:rsidRDefault="008C0BA0" w:rsidP="00C66114">
            <w:pPr>
              <w:jc w:val="center"/>
              <w:rPr>
                <w:rFonts w:cs="Calibri"/>
                <w:i/>
                <w:szCs w:val="24"/>
              </w:rPr>
            </w:pPr>
          </w:p>
        </w:tc>
        <w:tc>
          <w:tcPr>
            <w:tcW w:w="900" w:type="dxa"/>
            <w:hideMark/>
          </w:tcPr>
          <w:p w14:paraId="0B1476A7" w14:textId="77777777" w:rsidR="008C0BA0" w:rsidRPr="006D1C02" w:rsidRDefault="008C0BA0" w:rsidP="00C66114">
            <w:pPr>
              <w:jc w:val="center"/>
              <w:rPr>
                <w:rFonts w:cs="Calibri"/>
                <w:i/>
                <w:szCs w:val="24"/>
              </w:rPr>
            </w:pPr>
          </w:p>
        </w:tc>
        <w:tc>
          <w:tcPr>
            <w:tcW w:w="900" w:type="dxa"/>
            <w:hideMark/>
          </w:tcPr>
          <w:p w14:paraId="2B188A35" w14:textId="77777777" w:rsidR="008C0BA0" w:rsidRPr="006D1C02" w:rsidRDefault="008C0BA0" w:rsidP="00C66114">
            <w:pPr>
              <w:jc w:val="center"/>
              <w:rPr>
                <w:rFonts w:cs="Calibri"/>
                <w:i/>
                <w:szCs w:val="24"/>
              </w:rPr>
            </w:pPr>
            <w:r w:rsidRPr="006D1C02">
              <w:rPr>
                <w:rFonts w:cs="Calibri"/>
                <w:i/>
                <w:szCs w:val="24"/>
              </w:rPr>
              <w:t>X</w:t>
            </w:r>
          </w:p>
        </w:tc>
        <w:tc>
          <w:tcPr>
            <w:tcW w:w="900" w:type="dxa"/>
            <w:hideMark/>
          </w:tcPr>
          <w:p w14:paraId="677AED2A" w14:textId="77777777" w:rsidR="008C0BA0" w:rsidRPr="006D1C02" w:rsidRDefault="008C0BA0" w:rsidP="00C66114">
            <w:pPr>
              <w:jc w:val="center"/>
              <w:rPr>
                <w:rFonts w:cs="Calibri"/>
                <w:i/>
                <w:szCs w:val="24"/>
              </w:rPr>
            </w:pPr>
            <w:r w:rsidRPr="006D1C02">
              <w:rPr>
                <w:rFonts w:cs="Calibri"/>
                <w:i/>
                <w:color w:val="000000"/>
                <w:kern w:val="24"/>
                <w:szCs w:val="24"/>
              </w:rPr>
              <w:t>X</w:t>
            </w:r>
          </w:p>
        </w:tc>
        <w:tc>
          <w:tcPr>
            <w:tcW w:w="900" w:type="dxa"/>
            <w:hideMark/>
          </w:tcPr>
          <w:p w14:paraId="71E96342" w14:textId="77777777" w:rsidR="008C0BA0" w:rsidRPr="006D1C02" w:rsidRDefault="008C0BA0" w:rsidP="00C66114">
            <w:pPr>
              <w:jc w:val="center"/>
              <w:rPr>
                <w:rFonts w:cs="Calibri"/>
                <w:i/>
                <w:szCs w:val="24"/>
              </w:rPr>
            </w:pPr>
          </w:p>
        </w:tc>
        <w:tc>
          <w:tcPr>
            <w:tcW w:w="3690" w:type="dxa"/>
          </w:tcPr>
          <w:p w14:paraId="2191D69C" w14:textId="77777777" w:rsidR="008C0BA0" w:rsidRPr="006D1C02" w:rsidRDefault="008C0BA0" w:rsidP="00C66114">
            <w:pPr>
              <w:jc w:val="center"/>
              <w:rPr>
                <w:rFonts w:cs="Calibri"/>
                <w:i/>
                <w:color w:val="000000"/>
                <w:kern w:val="24"/>
                <w:szCs w:val="24"/>
              </w:rPr>
            </w:pPr>
            <w:r w:rsidRPr="006D1C02">
              <w:rPr>
                <w:rFonts w:cs="Calibri"/>
                <w:i/>
                <w:color w:val="000000"/>
                <w:kern w:val="24"/>
                <w:szCs w:val="24"/>
              </w:rPr>
              <w:t>At least 80% receive an 80% or better</w:t>
            </w:r>
          </w:p>
        </w:tc>
      </w:tr>
    </w:tbl>
    <w:p w14:paraId="4EEF7A2F" w14:textId="319540E2" w:rsidR="004D19CC" w:rsidRDefault="004D19CC" w:rsidP="004D19CC"/>
    <w:p w14:paraId="6F09DC26" w14:textId="77777777" w:rsidR="00487F57" w:rsidRPr="00487F57" w:rsidRDefault="00487F57" w:rsidP="00487F57">
      <w:pPr>
        <w:rPr>
          <w:b/>
          <w:bCs/>
        </w:rPr>
      </w:pPr>
      <w:r w:rsidRPr="00487F57">
        <w:rPr>
          <w:b/>
          <w:bCs/>
        </w:rPr>
        <w:t>REQUIRED TEXTBOOKS</w:t>
      </w:r>
    </w:p>
    <w:p w14:paraId="2BB12C0F" w14:textId="77777777" w:rsidR="008C0BA0" w:rsidRPr="008C0BA0" w:rsidRDefault="008C0BA0" w:rsidP="008C0BA0">
      <w:pPr>
        <w:tabs>
          <w:tab w:val="left" w:pos="-1440"/>
        </w:tabs>
        <w:ind w:left="2160" w:hanging="2160"/>
        <w:jc w:val="both"/>
        <w:rPr>
          <w:iCs/>
        </w:rPr>
      </w:pPr>
      <w:r w:rsidRPr="008C0BA0">
        <w:rPr>
          <w:iCs/>
        </w:rPr>
        <w:t>1. Textbook: Peterson, Steven J. and Dagostino, Frank R., Estimating in Building Construction,</w:t>
      </w:r>
    </w:p>
    <w:p w14:paraId="46F41118" w14:textId="77777777" w:rsidR="008C0BA0" w:rsidRPr="008C0BA0" w:rsidRDefault="008C0BA0" w:rsidP="008C0BA0">
      <w:pPr>
        <w:tabs>
          <w:tab w:val="left" w:pos="-1440"/>
        </w:tabs>
        <w:ind w:left="2160" w:hanging="2160"/>
        <w:jc w:val="both"/>
        <w:rPr>
          <w:iCs/>
        </w:rPr>
      </w:pPr>
      <w:r w:rsidRPr="008C0BA0">
        <w:rPr>
          <w:iCs/>
        </w:rPr>
        <w:t xml:space="preserve"> 9</w:t>
      </w:r>
      <w:r w:rsidRPr="008C0BA0">
        <w:rPr>
          <w:iCs/>
          <w:vertAlign w:val="superscript"/>
        </w:rPr>
        <w:t xml:space="preserve">th </w:t>
      </w:r>
      <w:r w:rsidRPr="008C0BA0">
        <w:rPr>
          <w:iCs/>
        </w:rPr>
        <w:t>Edition, Pearson (required).</w:t>
      </w:r>
    </w:p>
    <w:p w14:paraId="1C4090CD" w14:textId="77777777" w:rsidR="008C0BA0" w:rsidRPr="008C0BA0" w:rsidRDefault="008C0BA0" w:rsidP="008C0BA0">
      <w:pPr>
        <w:tabs>
          <w:tab w:val="left" w:pos="-1440"/>
        </w:tabs>
        <w:ind w:left="2160" w:hanging="2160"/>
        <w:jc w:val="both"/>
        <w:rPr>
          <w:iCs/>
          <w:vertAlign w:val="superscript"/>
        </w:rPr>
      </w:pPr>
    </w:p>
    <w:p w14:paraId="73FFBC18" w14:textId="77777777" w:rsidR="008C0BA0" w:rsidRPr="008C0BA0" w:rsidRDefault="008C0BA0" w:rsidP="008C0BA0">
      <w:pPr>
        <w:tabs>
          <w:tab w:val="left" w:pos="-1440"/>
        </w:tabs>
        <w:ind w:left="2160" w:hanging="2160"/>
        <w:rPr>
          <w:iCs/>
        </w:rPr>
      </w:pPr>
      <w:r w:rsidRPr="008C0BA0">
        <w:rPr>
          <w:iCs/>
        </w:rPr>
        <w:t>2. Software: a) RS Means Cost Data Online (</w:t>
      </w:r>
      <w:hyperlink r:id="rId7" w:history="1">
        <w:r w:rsidRPr="008C0BA0">
          <w:rPr>
            <w:iCs/>
            <w:color w:val="0000FF"/>
            <w:u w:val="single"/>
          </w:rPr>
          <w:t>https://www.rsmeansonline.com/</w:t>
        </w:r>
      </w:hyperlink>
      <w:hyperlink r:id="rId8" w:history="1"/>
      <w:r w:rsidRPr="008C0BA0">
        <w:rPr>
          <w:iCs/>
        </w:rPr>
        <w:t>); access to a cloud</w:t>
      </w:r>
    </w:p>
    <w:p w14:paraId="34DFEAB1" w14:textId="77777777" w:rsidR="008C0BA0" w:rsidRPr="008C0BA0" w:rsidRDefault="008C0BA0" w:rsidP="008C0BA0">
      <w:pPr>
        <w:tabs>
          <w:tab w:val="left" w:pos="-1440"/>
        </w:tabs>
        <w:ind w:left="2160" w:hanging="2160"/>
        <w:rPr>
          <w:iCs/>
        </w:rPr>
      </w:pPr>
      <w:r w:rsidRPr="008C0BA0">
        <w:rPr>
          <w:iCs/>
        </w:rPr>
        <w:t>-based cost data (student version) will be provided;</w:t>
      </w:r>
    </w:p>
    <w:p w14:paraId="0D3B5974" w14:textId="77777777" w:rsidR="008C0BA0" w:rsidRPr="008C0BA0" w:rsidRDefault="008C0BA0" w:rsidP="008C0BA0">
      <w:pPr>
        <w:tabs>
          <w:tab w:val="left" w:pos="-1440"/>
        </w:tabs>
        <w:ind w:left="2160" w:hanging="2160"/>
        <w:jc w:val="both"/>
        <w:rPr>
          <w:iCs/>
        </w:rPr>
      </w:pPr>
    </w:p>
    <w:p w14:paraId="38E35FC1" w14:textId="77777777" w:rsidR="008C0BA0" w:rsidRPr="008C0BA0" w:rsidRDefault="008C0BA0" w:rsidP="008C0BA0">
      <w:pPr>
        <w:tabs>
          <w:tab w:val="left" w:pos="-1440"/>
        </w:tabs>
        <w:ind w:left="2160" w:hanging="2160"/>
        <w:jc w:val="both"/>
        <w:rPr>
          <w:iCs/>
          <w:color w:val="000000"/>
        </w:rPr>
      </w:pPr>
      <w:r w:rsidRPr="008C0BA0">
        <w:rPr>
          <w:iCs/>
        </w:rPr>
        <w:t xml:space="preserve">3. </w:t>
      </w:r>
      <w:r w:rsidRPr="008C0BA0">
        <w:rPr>
          <w:iCs/>
          <w:color w:val="000000"/>
        </w:rPr>
        <w:t>Contract Documents: Drawings and Specifications for the “St. Augustine Airport Multi-</w:t>
      </w:r>
    </w:p>
    <w:p w14:paraId="05DD33D4" w14:textId="77777777" w:rsidR="008C0BA0" w:rsidRPr="008C0BA0" w:rsidRDefault="008C0BA0" w:rsidP="008C0BA0">
      <w:pPr>
        <w:tabs>
          <w:tab w:val="left" w:pos="-1440"/>
        </w:tabs>
        <w:ind w:left="2160" w:hanging="2160"/>
        <w:jc w:val="both"/>
        <w:rPr>
          <w:iCs/>
          <w:color w:val="000000"/>
        </w:rPr>
      </w:pPr>
      <w:r w:rsidRPr="008C0BA0">
        <w:rPr>
          <w:iCs/>
          <w:color w:val="000000"/>
        </w:rPr>
        <w:t>purpose Building” project. The electronic version of the contract document is available on the</w:t>
      </w:r>
    </w:p>
    <w:p w14:paraId="1219EEC9" w14:textId="77777777" w:rsidR="008C0BA0" w:rsidRPr="008C0BA0" w:rsidRDefault="008C0BA0" w:rsidP="008C0BA0">
      <w:pPr>
        <w:tabs>
          <w:tab w:val="left" w:pos="-1440"/>
        </w:tabs>
        <w:ind w:left="2160" w:hanging="2160"/>
        <w:jc w:val="both"/>
        <w:rPr>
          <w:rStyle w:val="Heading3Char"/>
          <w:iCs/>
        </w:rPr>
      </w:pPr>
      <w:r w:rsidRPr="008C0BA0">
        <w:rPr>
          <w:iCs/>
          <w:color w:val="000000"/>
        </w:rPr>
        <w:t xml:space="preserve"> course website.</w:t>
      </w:r>
    </w:p>
    <w:p w14:paraId="031C8D4E" w14:textId="7CB4A3CA" w:rsidR="00F708EA" w:rsidRDefault="00F708EA" w:rsidP="00487F57"/>
    <w:p w14:paraId="0A02869E" w14:textId="34EBC8CA" w:rsidR="00F708EA" w:rsidRDefault="00F708EA" w:rsidP="00854AD1">
      <w:pPr>
        <w:jc w:val="both"/>
      </w:pPr>
      <w:r w:rsidRPr="00F708EA">
        <w:rPr>
          <w:b/>
          <w:bCs/>
        </w:rPr>
        <w:t>HOMEWORK POLICY:</w:t>
      </w:r>
      <w:r>
        <w:t xml:space="preserve"> </w:t>
      </w:r>
      <w:r w:rsidR="005160E1">
        <w:t xml:space="preserve">The students are required to watch the video lectures and engage with the content (add comments, ask questions, discuss the topics) using Perusal. This will be moderated and graded. </w:t>
      </w:r>
      <w:r w:rsidR="00F92E5C">
        <w:t xml:space="preserve">The lecture video homework is due before the class. </w:t>
      </w:r>
      <w:r w:rsidR="005160E1">
        <w:t xml:space="preserve">In addition, students are required to complete estimating exercises in class with assistance from the TAs and instructor. The in-class exercises are due at the end of each class. </w:t>
      </w:r>
      <w:r>
        <w:t>Assignments will be accepted up to the established time. Any Assignment turned in after the deadline will be graded at 50% of the original credit. Any assignment turned in more than 48 hours late will not be accepted, and the student will receive a 0 (zero) on the assignment. All work turned in for this course is expected to be of professional quality in content and presentation.</w:t>
      </w:r>
    </w:p>
    <w:p w14:paraId="0B0BF1F6" w14:textId="77777777" w:rsidR="00854AD1" w:rsidRDefault="00854AD1" w:rsidP="00F708EA"/>
    <w:p w14:paraId="25D17559" w14:textId="4E988B59" w:rsidR="00854AD1" w:rsidRDefault="00854AD1" w:rsidP="00854AD1">
      <w:pPr>
        <w:widowControl/>
        <w:autoSpaceDE/>
        <w:autoSpaceDN/>
        <w:jc w:val="both"/>
        <w:rPr>
          <w:iCs/>
          <w:color w:val="212121"/>
          <w:sz w:val="24"/>
          <w:szCs w:val="24"/>
        </w:rPr>
      </w:pPr>
      <w:r w:rsidRPr="00854AD1">
        <w:rPr>
          <w:b/>
          <w:bCs/>
        </w:rPr>
        <w:t xml:space="preserve">ATTENDANCE POLICY: </w:t>
      </w:r>
      <w:r w:rsidRPr="00854AD1">
        <w:rPr>
          <w:iCs/>
          <w:sz w:val="24"/>
          <w:szCs w:val="24"/>
        </w:rPr>
        <w:t xml:space="preserve">Attendance is required. </w:t>
      </w:r>
      <w:r w:rsidRPr="00854AD1">
        <w:rPr>
          <w:iCs/>
          <w:color w:val="212121"/>
          <w:sz w:val="24"/>
          <w:szCs w:val="24"/>
        </w:rPr>
        <w:t xml:space="preserve">Requirements for class attendance and make-up quizzes, assignments, and other work in this course are consistent with university policies that can be found at: </w:t>
      </w:r>
      <w:hyperlink r:id="rId9" w:history="1">
        <w:r w:rsidRPr="00854AD1">
          <w:rPr>
            <w:iCs/>
            <w:color w:val="0000FF"/>
            <w:sz w:val="24"/>
            <w:szCs w:val="24"/>
            <w:u w:val="single"/>
          </w:rPr>
          <w:t>https://catalog.ufl.edu/ugrad/current/regulations/info/attendance.aspx</w:t>
        </w:r>
      </w:hyperlink>
    </w:p>
    <w:p w14:paraId="63BE52C1" w14:textId="77777777" w:rsidR="00854AD1" w:rsidRPr="00854AD1" w:rsidRDefault="00854AD1" w:rsidP="00854AD1">
      <w:pPr>
        <w:widowControl/>
        <w:autoSpaceDE/>
        <w:autoSpaceDN/>
        <w:jc w:val="both"/>
        <w:rPr>
          <w:iCs/>
          <w:color w:val="212121"/>
          <w:sz w:val="24"/>
          <w:szCs w:val="24"/>
        </w:rPr>
      </w:pPr>
    </w:p>
    <w:p w14:paraId="77C0450F" w14:textId="4E200C81" w:rsidR="00854AD1" w:rsidRDefault="00854AD1" w:rsidP="00854AD1">
      <w:pPr>
        <w:widowControl/>
        <w:autoSpaceDE/>
        <w:autoSpaceDN/>
        <w:jc w:val="both"/>
      </w:pPr>
      <w:r w:rsidRPr="00854AD1">
        <w:rPr>
          <w:b/>
          <w:bCs/>
        </w:rPr>
        <w:t xml:space="preserve">QUIZ/EXAM POLICY:  </w:t>
      </w:r>
      <w:r w:rsidRPr="00854AD1">
        <w:rPr>
          <w:rFonts w:eastAsia="Calibri"/>
          <w:iCs/>
          <w:sz w:val="24"/>
          <w:szCs w:val="20"/>
        </w:rPr>
        <w:t>There will be t</w:t>
      </w:r>
      <w:r>
        <w:rPr>
          <w:rFonts w:eastAsia="Calibri"/>
          <w:iCs/>
          <w:sz w:val="24"/>
          <w:szCs w:val="20"/>
        </w:rPr>
        <w:t>hree</w:t>
      </w:r>
      <w:r w:rsidRPr="00854AD1">
        <w:rPr>
          <w:rFonts w:eastAsia="Calibri"/>
          <w:iCs/>
          <w:sz w:val="24"/>
          <w:szCs w:val="20"/>
        </w:rPr>
        <w:t xml:space="preserve"> exams during the semester. The dates of the exams are provided in the course schedule. Three to four </w:t>
      </w:r>
      <w:r>
        <w:rPr>
          <w:rFonts w:eastAsia="Calibri"/>
          <w:iCs/>
          <w:sz w:val="24"/>
          <w:szCs w:val="20"/>
        </w:rPr>
        <w:t>pop- q</w:t>
      </w:r>
      <w:r w:rsidRPr="00854AD1">
        <w:rPr>
          <w:rFonts w:eastAsia="Calibri"/>
          <w:iCs/>
          <w:sz w:val="24"/>
          <w:szCs w:val="20"/>
        </w:rPr>
        <w:t>uizzes will be given throughout the semester</w:t>
      </w:r>
      <w:r>
        <w:rPr>
          <w:rFonts w:eastAsia="Calibri"/>
          <w:iCs/>
          <w:sz w:val="24"/>
          <w:szCs w:val="20"/>
        </w:rPr>
        <w:t>.</w:t>
      </w:r>
    </w:p>
    <w:p w14:paraId="21CEE7C9" w14:textId="77777777" w:rsidR="00F708EA" w:rsidRDefault="00F708EA" w:rsidP="00F708EA"/>
    <w:p w14:paraId="1DF3219C" w14:textId="77777777" w:rsidR="00F708EA" w:rsidRPr="00F708EA" w:rsidRDefault="00F708EA" w:rsidP="00F708EA">
      <w:pPr>
        <w:rPr>
          <w:b/>
          <w:bCs/>
        </w:rPr>
      </w:pPr>
      <w:r w:rsidRPr="00F708EA">
        <w:rPr>
          <w:b/>
          <w:bCs/>
        </w:rPr>
        <w:t>COURSE GRADING:</w:t>
      </w:r>
    </w:p>
    <w:p w14:paraId="135D18B8" w14:textId="3F633245" w:rsidR="00F708EA" w:rsidRDefault="00F92E5C" w:rsidP="00F708EA">
      <w:pPr>
        <w:ind w:left="450"/>
      </w:pPr>
      <w:r>
        <w:t>Lecture Video assignments</w:t>
      </w:r>
      <w:r w:rsidR="00F708EA">
        <w:t xml:space="preserve">: </w:t>
      </w:r>
      <w:r>
        <w:t>(8)</w:t>
      </w:r>
      <w:r w:rsidR="00F708EA">
        <w:tab/>
      </w:r>
      <w:r w:rsidR="00854AD1">
        <w:tab/>
      </w:r>
      <w:r w:rsidR="00854AD1">
        <w:tab/>
      </w:r>
      <w:r>
        <w:t>2</w:t>
      </w:r>
      <w:r w:rsidR="00F708EA">
        <w:t>0%</w:t>
      </w:r>
    </w:p>
    <w:p w14:paraId="758A0369" w14:textId="21BE5428" w:rsidR="00F708EA" w:rsidRDefault="00F708EA" w:rsidP="00F708EA">
      <w:pPr>
        <w:ind w:left="450"/>
      </w:pPr>
      <w:r>
        <w:t>Assignments</w:t>
      </w:r>
      <w:r w:rsidR="00854AD1">
        <w:t xml:space="preserve"> &amp; In-class exercises</w:t>
      </w:r>
      <w:r>
        <w:t>: 10 assignments</w:t>
      </w:r>
      <w:r>
        <w:tab/>
      </w:r>
      <w:r w:rsidR="00854AD1">
        <w:t>20</w:t>
      </w:r>
      <w:r>
        <w:t>%</w:t>
      </w:r>
    </w:p>
    <w:p w14:paraId="4AB1D8AB" w14:textId="5A538F98" w:rsidR="00F708EA" w:rsidRDefault="00F708EA" w:rsidP="00F708EA">
      <w:pPr>
        <w:ind w:left="450"/>
      </w:pPr>
      <w:r>
        <w:t>Final Project</w:t>
      </w:r>
      <w:r>
        <w:tab/>
      </w:r>
      <w:r>
        <w:tab/>
      </w:r>
      <w:r>
        <w:tab/>
      </w:r>
      <w:r w:rsidR="00854AD1">
        <w:tab/>
      </w:r>
      <w:r w:rsidR="00854AD1">
        <w:tab/>
      </w:r>
      <w:r>
        <w:t>2</w:t>
      </w:r>
      <w:r w:rsidR="00854AD1">
        <w:t>5</w:t>
      </w:r>
      <w:r>
        <w:t>%</w:t>
      </w:r>
    </w:p>
    <w:p w14:paraId="23D1E5F9" w14:textId="12ABD76D" w:rsidR="00F708EA" w:rsidRDefault="00854AD1" w:rsidP="00F708EA">
      <w:pPr>
        <w:ind w:left="450"/>
      </w:pPr>
      <w:r>
        <w:t>Exams (3 Exams)</w:t>
      </w:r>
      <w:r>
        <w:tab/>
      </w:r>
      <w:r>
        <w:tab/>
      </w:r>
      <w:r w:rsidR="00F708EA">
        <w:tab/>
      </w:r>
      <w:r>
        <w:tab/>
      </w:r>
      <w:r>
        <w:tab/>
        <w:t>3</w:t>
      </w:r>
      <w:r w:rsidR="00F708EA">
        <w:t>0%</w:t>
      </w:r>
    </w:p>
    <w:p w14:paraId="6A4C87A2" w14:textId="71B1B439" w:rsidR="00854AD1" w:rsidRDefault="00854AD1" w:rsidP="00F708EA">
      <w:pPr>
        <w:ind w:left="450"/>
      </w:pPr>
      <w:r>
        <w:t>Pop-quizzes &amp; class participation</w:t>
      </w:r>
      <w:r>
        <w:tab/>
      </w:r>
      <w:r>
        <w:tab/>
      </w:r>
      <w:r>
        <w:tab/>
        <w:t>05%</w:t>
      </w:r>
    </w:p>
    <w:p w14:paraId="467050BB" w14:textId="78062C9C" w:rsidR="00F708EA" w:rsidRPr="00F708EA" w:rsidRDefault="00F708EA" w:rsidP="00F708EA">
      <w:pPr>
        <w:ind w:left="450"/>
        <w:rPr>
          <w:b/>
          <w:bCs/>
          <w:u w:val="single"/>
        </w:rPr>
      </w:pPr>
      <w:r w:rsidRPr="00F708EA">
        <w:rPr>
          <w:b/>
          <w:bCs/>
          <w:u w:val="single"/>
        </w:rPr>
        <w:t xml:space="preserve">Total                                          </w:t>
      </w:r>
      <w:r>
        <w:rPr>
          <w:b/>
          <w:bCs/>
          <w:u w:val="single"/>
        </w:rPr>
        <w:tab/>
      </w:r>
      <w:r w:rsidR="00854AD1">
        <w:rPr>
          <w:b/>
          <w:bCs/>
          <w:u w:val="single"/>
        </w:rPr>
        <w:tab/>
      </w:r>
      <w:r w:rsidR="00854AD1">
        <w:rPr>
          <w:b/>
          <w:bCs/>
          <w:u w:val="single"/>
        </w:rPr>
        <w:tab/>
      </w:r>
      <w:r w:rsidRPr="00F708EA">
        <w:rPr>
          <w:b/>
          <w:bCs/>
          <w:u w:val="single"/>
        </w:rPr>
        <w:t>100%</w:t>
      </w:r>
    </w:p>
    <w:p w14:paraId="6E5DEDA1" w14:textId="77777777" w:rsidR="00F708EA" w:rsidRDefault="00F708EA" w:rsidP="00F708EA">
      <w:pPr>
        <w:rPr>
          <w:b/>
        </w:rPr>
      </w:pPr>
    </w:p>
    <w:p w14:paraId="332D476D" w14:textId="186B7B17" w:rsidR="00F708EA" w:rsidRPr="00EF0CD4" w:rsidRDefault="00F708EA" w:rsidP="00F708EA">
      <w:r w:rsidRPr="00EF0CD4">
        <w:rPr>
          <w:b/>
        </w:rPr>
        <w:t xml:space="preserve">Grade Scale: </w:t>
      </w:r>
      <w:r w:rsidRPr="00EF0CD4">
        <w:rPr>
          <w:b/>
        </w:rPr>
        <w:tab/>
      </w:r>
      <w:r w:rsidRPr="00EF0CD4">
        <w:t xml:space="preserve">Grades will be given according to the following scale. </w:t>
      </w:r>
    </w:p>
    <w:tbl>
      <w:tblPr>
        <w:tblStyle w:val="TableGrid0"/>
        <w:tblW w:w="4045" w:type="dxa"/>
        <w:tblInd w:w="1960" w:type="dxa"/>
        <w:tblCellMar>
          <w:top w:w="7" w:type="dxa"/>
          <w:left w:w="106" w:type="dxa"/>
          <w:right w:w="115" w:type="dxa"/>
        </w:tblCellMar>
        <w:tblLook w:val="04A0" w:firstRow="1" w:lastRow="0" w:firstColumn="1" w:lastColumn="0" w:noHBand="0" w:noVBand="1"/>
      </w:tblPr>
      <w:tblGrid>
        <w:gridCol w:w="2069"/>
        <w:gridCol w:w="1976"/>
      </w:tblGrid>
      <w:tr w:rsidR="00F708EA" w:rsidRPr="00EF0CD4" w14:paraId="26681B00"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6B19FA6F" w14:textId="77777777" w:rsidR="00F708EA" w:rsidRPr="00EF0CD4" w:rsidRDefault="00F708EA" w:rsidP="006D1306">
            <w:pPr>
              <w:rPr>
                <w:rFonts w:eastAsia="Calibri"/>
                <w:color w:val="000000"/>
              </w:rPr>
            </w:pPr>
            <w:r w:rsidRPr="00EF0CD4">
              <w:rPr>
                <w:b/>
                <w:color w:val="000000"/>
              </w:rPr>
              <w:lastRenderedPageBreak/>
              <w:t>Letter Grade</w:t>
            </w:r>
            <w:r w:rsidRPr="00EF0CD4">
              <w:rPr>
                <w:color w:val="000000"/>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5EA977DC" w14:textId="77777777" w:rsidR="00F708EA" w:rsidRPr="00EF0CD4" w:rsidRDefault="00F708EA" w:rsidP="006D1306">
            <w:pPr>
              <w:ind w:left="2"/>
              <w:rPr>
                <w:rFonts w:eastAsia="Calibri"/>
                <w:color w:val="000000"/>
              </w:rPr>
            </w:pPr>
            <w:r w:rsidRPr="00EF0CD4">
              <w:rPr>
                <w:b/>
                <w:color w:val="000000"/>
              </w:rPr>
              <w:t>Numeric Grade</w:t>
            </w:r>
            <w:r w:rsidRPr="00EF0CD4">
              <w:rPr>
                <w:color w:val="000000"/>
              </w:rPr>
              <w:t xml:space="preserve"> </w:t>
            </w:r>
          </w:p>
        </w:tc>
      </w:tr>
      <w:tr w:rsidR="00F708EA" w:rsidRPr="00EF0CD4" w14:paraId="7B8A59EF" w14:textId="77777777" w:rsidTr="006D1306">
        <w:trPr>
          <w:trHeight w:val="262"/>
        </w:trPr>
        <w:tc>
          <w:tcPr>
            <w:tcW w:w="2069" w:type="dxa"/>
            <w:tcBorders>
              <w:top w:val="single" w:sz="4" w:space="0" w:color="000000"/>
              <w:left w:val="single" w:sz="4" w:space="0" w:color="000000"/>
              <w:bottom w:val="single" w:sz="4" w:space="0" w:color="000000"/>
              <w:right w:val="single" w:sz="4" w:space="0" w:color="000000"/>
            </w:tcBorders>
          </w:tcPr>
          <w:p w14:paraId="02E08DF2" w14:textId="77777777" w:rsidR="00F708EA" w:rsidRPr="00EF0CD4" w:rsidRDefault="00F708EA" w:rsidP="006D1306">
            <w:pPr>
              <w:rPr>
                <w:rFonts w:eastAsia="Calibri"/>
                <w:color w:val="000000"/>
              </w:rPr>
            </w:pPr>
            <w:r w:rsidRPr="00EF0CD4">
              <w:rPr>
                <w:color w:val="00000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7BB22034"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93 </w:t>
            </w:r>
          </w:p>
        </w:tc>
      </w:tr>
      <w:tr w:rsidR="00F708EA" w:rsidRPr="00EF0CD4" w14:paraId="01CA9AD6"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05A91E17" w14:textId="77777777" w:rsidR="00F708EA" w:rsidRPr="00EF0CD4" w:rsidRDefault="00F708EA" w:rsidP="006D1306">
            <w:pPr>
              <w:rPr>
                <w:rFonts w:eastAsia="Calibri"/>
                <w:color w:val="000000"/>
              </w:rPr>
            </w:pPr>
            <w:r w:rsidRPr="00EF0CD4">
              <w:rPr>
                <w:color w:val="00000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43F3FA00"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90 AND &lt; 93 </w:t>
            </w:r>
          </w:p>
        </w:tc>
      </w:tr>
      <w:tr w:rsidR="00F708EA" w:rsidRPr="00EF0CD4" w14:paraId="7EEC87C5"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54A2A622" w14:textId="77777777" w:rsidR="00F708EA" w:rsidRPr="00EF0CD4" w:rsidRDefault="00F708EA" w:rsidP="006D1306">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7ECC4E80"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87 AND &lt; 90 </w:t>
            </w:r>
          </w:p>
        </w:tc>
      </w:tr>
      <w:tr w:rsidR="00F708EA" w:rsidRPr="00EF0CD4" w14:paraId="70102B4C" w14:textId="77777777" w:rsidTr="006D1306">
        <w:trPr>
          <w:trHeight w:val="262"/>
        </w:trPr>
        <w:tc>
          <w:tcPr>
            <w:tcW w:w="2069" w:type="dxa"/>
            <w:tcBorders>
              <w:top w:val="single" w:sz="4" w:space="0" w:color="000000"/>
              <w:left w:val="single" w:sz="4" w:space="0" w:color="000000"/>
              <w:bottom w:val="single" w:sz="4" w:space="0" w:color="000000"/>
              <w:right w:val="single" w:sz="4" w:space="0" w:color="000000"/>
            </w:tcBorders>
          </w:tcPr>
          <w:p w14:paraId="532199C2" w14:textId="77777777" w:rsidR="00F708EA" w:rsidRPr="00EF0CD4" w:rsidRDefault="00F708EA" w:rsidP="006D1306">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4B1497CB"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83 AND &lt; 87 </w:t>
            </w:r>
          </w:p>
        </w:tc>
      </w:tr>
      <w:tr w:rsidR="00F708EA" w:rsidRPr="00EF0CD4" w14:paraId="5B38BB65"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3759F9AC" w14:textId="77777777" w:rsidR="00F708EA" w:rsidRPr="00EF0CD4" w:rsidRDefault="00F708EA" w:rsidP="006D1306">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11CC0717"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80 AND &lt; 83 </w:t>
            </w:r>
          </w:p>
        </w:tc>
      </w:tr>
      <w:tr w:rsidR="00F708EA" w:rsidRPr="00EF0CD4" w14:paraId="75064459" w14:textId="77777777" w:rsidTr="006D1306">
        <w:trPr>
          <w:trHeight w:val="262"/>
        </w:trPr>
        <w:tc>
          <w:tcPr>
            <w:tcW w:w="2069" w:type="dxa"/>
            <w:tcBorders>
              <w:top w:val="single" w:sz="4" w:space="0" w:color="000000"/>
              <w:left w:val="single" w:sz="4" w:space="0" w:color="000000"/>
              <w:bottom w:val="single" w:sz="4" w:space="0" w:color="000000"/>
              <w:right w:val="single" w:sz="4" w:space="0" w:color="000000"/>
            </w:tcBorders>
          </w:tcPr>
          <w:p w14:paraId="2A79FAD1" w14:textId="77777777" w:rsidR="00F708EA" w:rsidRPr="00EF0CD4" w:rsidRDefault="00F708EA" w:rsidP="006D1306">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2497F7B3"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77 AND &lt; 80 </w:t>
            </w:r>
          </w:p>
        </w:tc>
      </w:tr>
      <w:tr w:rsidR="00F708EA" w:rsidRPr="00EF0CD4" w14:paraId="092032D4"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0C78FEA0" w14:textId="77777777" w:rsidR="00F708EA" w:rsidRPr="00EF0CD4" w:rsidRDefault="00F708EA" w:rsidP="006D1306">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18CCF002"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73 AND &lt; 77 </w:t>
            </w:r>
          </w:p>
        </w:tc>
      </w:tr>
      <w:tr w:rsidR="00F708EA" w:rsidRPr="00EF0CD4" w14:paraId="47C1C3B6" w14:textId="77777777" w:rsidTr="006D1306">
        <w:trPr>
          <w:trHeight w:val="262"/>
        </w:trPr>
        <w:tc>
          <w:tcPr>
            <w:tcW w:w="2069" w:type="dxa"/>
            <w:tcBorders>
              <w:top w:val="single" w:sz="4" w:space="0" w:color="000000"/>
              <w:left w:val="single" w:sz="4" w:space="0" w:color="000000"/>
              <w:bottom w:val="single" w:sz="4" w:space="0" w:color="000000"/>
              <w:right w:val="single" w:sz="4" w:space="0" w:color="000000"/>
            </w:tcBorders>
          </w:tcPr>
          <w:p w14:paraId="334AA80A" w14:textId="77777777" w:rsidR="00F708EA" w:rsidRPr="00EF0CD4" w:rsidRDefault="00F708EA" w:rsidP="006D1306">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521D43E0"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70 AND &lt; 73 </w:t>
            </w:r>
          </w:p>
        </w:tc>
      </w:tr>
      <w:tr w:rsidR="00F708EA" w:rsidRPr="00EF0CD4" w14:paraId="05FC42CF"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6F7E0710" w14:textId="77777777" w:rsidR="00F708EA" w:rsidRPr="00EF0CD4" w:rsidRDefault="00F708EA" w:rsidP="006D1306">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50E1EADF"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67 AND &lt; 70 </w:t>
            </w:r>
          </w:p>
        </w:tc>
      </w:tr>
      <w:tr w:rsidR="00F708EA" w:rsidRPr="00EF0CD4" w14:paraId="770A02E8"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399BB1DA" w14:textId="77777777" w:rsidR="00F708EA" w:rsidRPr="00EF0CD4" w:rsidRDefault="00F708EA" w:rsidP="006D1306">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2502C9F2"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63 AND &lt; 67 </w:t>
            </w:r>
          </w:p>
        </w:tc>
      </w:tr>
      <w:tr w:rsidR="00F708EA" w:rsidRPr="00EF0CD4" w14:paraId="4BEB6B10" w14:textId="77777777" w:rsidTr="006D1306">
        <w:trPr>
          <w:trHeight w:val="262"/>
        </w:trPr>
        <w:tc>
          <w:tcPr>
            <w:tcW w:w="2069" w:type="dxa"/>
            <w:tcBorders>
              <w:top w:val="single" w:sz="4" w:space="0" w:color="000000"/>
              <w:left w:val="single" w:sz="4" w:space="0" w:color="000000"/>
              <w:bottom w:val="single" w:sz="4" w:space="0" w:color="000000"/>
              <w:right w:val="single" w:sz="4" w:space="0" w:color="000000"/>
            </w:tcBorders>
          </w:tcPr>
          <w:p w14:paraId="561E6EBF" w14:textId="77777777" w:rsidR="00F708EA" w:rsidRPr="00EF0CD4" w:rsidRDefault="00F708EA" w:rsidP="006D1306">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688B87F3" w14:textId="77777777" w:rsidR="00F708EA" w:rsidRPr="00EF0CD4" w:rsidRDefault="00F708EA" w:rsidP="006D1306">
            <w:pPr>
              <w:ind w:left="2"/>
              <w:rPr>
                <w:rFonts w:eastAsia="Calibri"/>
                <w:color w:val="000000"/>
              </w:rPr>
            </w:pPr>
            <w:r w:rsidRPr="00EF0CD4">
              <w:rPr>
                <w:color w:val="222222"/>
              </w:rPr>
              <w:t xml:space="preserve">≥ </w:t>
            </w:r>
            <w:r w:rsidRPr="00EF0CD4">
              <w:rPr>
                <w:color w:val="000000"/>
              </w:rPr>
              <w:t xml:space="preserve">60 AND &lt; 63 </w:t>
            </w:r>
          </w:p>
        </w:tc>
      </w:tr>
      <w:tr w:rsidR="00F708EA" w:rsidRPr="00EF0CD4" w14:paraId="138012D2" w14:textId="77777777" w:rsidTr="006D1306">
        <w:trPr>
          <w:trHeight w:val="264"/>
        </w:trPr>
        <w:tc>
          <w:tcPr>
            <w:tcW w:w="2069" w:type="dxa"/>
            <w:tcBorders>
              <w:top w:val="single" w:sz="4" w:space="0" w:color="000000"/>
              <w:left w:val="single" w:sz="4" w:space="0" w:color="000000"/>
              <w:bottom w:val="single" w:sz="4" w:space="0" w:color="000000"/>
              <w:right w:val="single" w:sz="4" w:space="0" w:color="000000"/>
            </w:tcBorders>
          </w:tcPr>
          <w:p w14:paraId="21773355" w14:textId="77777777" w:rsidR="00F708EA" w:rsidRPr="00EF0CD4" w:rsidRDefault="00F708EA" w:rsidP="006D1306">
            <w:pPr>
              <w:rPr>
                <w:rFonts w:eastAsia="Calibri"/>
                <w:color w:val="000000"/>
              </w:rPr>
            </w:pPr>
            <w:r w:rsidRPr="00EF0CD4">
              <w:rPr>
                <w:color w:val="000000"/>
              </w:rPr>
              <w:t xml:space="preserve">F </w:t>
            </w:r>
          </w:p>
        </w:tc>
        <w:tc>
          <w:tcPr>
            <w:tcW w:w="1976" w:type="dxa"/>
            <w:tcBorders>
              <w:top w:val="single" w:sz="4" w:space="0" w:color="000000"/>
              <w:left w:val="single" w:sz="4" w:space="0" w:color="000000"/>
              <w:bottom w:val="single" w:sz="4" w:space="0" w:color="000000"/>
              <w:right w:val="single" w:sz="4" w:space="0" w:color="000000"/>
            </w:tcBorders>
          </w:tcPr>
          <w:p w14:paraId="74F91AA5" w14:textId="77777777" w:rsidR="00F708EA" w:rsidRPr="00EF0CD4" w:rsidRDefault="00F708EA" w:rsidP="006D1306">
            <w:pPr>
              <w:ind w:left="2"/>
              <w:rPr>
                <w:rFonts w:eastAsia="Calibri"/>
                <w:color w:val="000000"/>
              </w:rPr>
            </w:pPr>
            <w:r w:rsidRPr="00EF0CD4">
              <w:rPr>
                <w:color w:val="222222"/>
              </w:rPr>
              <w:t>&lt;</w:t>
            </w:r>
            <w:r w:rsidRPr="00EF0CD4">
              <w:rPr>
                <w:color w:val="000000"/>
              </w:rPr>
              <w:t xml:space="preserve">60 </w:t>
            </w:r>
          </w:p>
        </w:tc>
      </w:tr>
    </w:tbl>
    <w:p w14:paraId="335EC4E7" w14:textId="77777777" w:rsidR="00F708EA" w:rsidRPr="00EF0CD4" w:rsidRDefault="00F708EA" w:rsidP="00F708EA">
      <w:pPr>
        <w:pStyle w:val="BodyText"/>
        <w:spacing w:before="5"/>
        <w:rPr>
          <w:sz w:val="22"/>
          <w:szCs w:val="22"/>
        </w:rPr>
      </w:pPr>
    </w:p>
    <w:p w14:paraId="1B664D0F" w14:textId="3C74B21D" w:rsidR="00F708EA" w:rsidRDefault="00F708EA" w:rsidP="00F708EA">
      <w:pPr>
        <w:pStyle w:val="Heading1"/>
        <w:spacing w:line="240" w:lineRule="auto"/>
        <w:ind w:left="0"/>
      </w:pPr>
      <w:r w:rsidRPr="00EF0CD4">
        <w:t xml:space="preserve">COURSE </w:t>
      </w:r>
      <w:r>
        <w:t>SCHEDULE</w:t>
      </w:r>
      <w:r w:rsidRPr="00EF0CD4">
        <w:t>:</w:t>
      </w:r>
    </w:p>
    <w:tbl>
      <w:tblPr>
        <w:tblStyle w:val="TableGrid1"/>
        <w:tblW w:w="9855" w:type="dxa"/>
        <w:tblLook w:val="04A0" w:firstRow="1" w:lastRow="0" w:firstColumn="1" w:lastColumn="0" w:noHBand="0" w:noVBand="1"/>
      </w:tblPr>
      <w:tblGrid>
        <w:gridCol w:w="2051"/>
        <w:gridCol w:w="1672"/>
        <w:gridCol w:w="1989"/>
        <w:gridCol w:w="1989"/>
        <w:gridCol w:w="2154"/>
      </w:tblGrid>
      <w:tr w:rsidR="00854AD1" w:rsidRPr="00854AD1" w14:paraId="529F5A47" w14:textId="77777777" w:rsidTr="00C66114">
        <w:trPr>
          <w:trHeight w:val="359"/>
        </w:trPr>
        <w:tc>
          <w:tcPr>
            <w:tcW w:w="2051" w:type="dxa"/>
          </w:tcPr>
          <w:p w14:paraId="6901F326"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 Week</w:t>
            </w:r>
          </w:p>
        </w:tc>
        <w:tc>
          <w:tcPr>
            <w:tcW w:w="1672" w:type="dxa"/>
          </w:tcPr>
          <w:p w14:paraId="0AD9E5AE"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Date</w:t>
            </w:r>
          </w:p>
        </w:tc>
        <w:tc>
          <w:tcPr>
            <w:tcW w:w="1989" w:type="dxa"/>
          </w:tcPr>
          <w:p w14:paraId="644CF4C3"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Topic</w:t>
            </w:r>
          </w:p>
        </w:tc>
        <w:tc>
          <w:tcPr>
            <w:tcW w:w="1989" w:type="dxa"/>
          </w:tcPr>
          <w:p w14:paraId="7756D1A6"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Mode of Teaching</w:t>
            </w:r>
          </w:p>
        </w:tc>
        <w:tc>
          <w:tcPr>
            <w:tcW w:w="2154" w:type="dxa"/>
          </w:tcPr>
          <w:p w14:paraId="58B5D453"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Assessments</w:t>
            </w:r>
          </w:p>
        </w:tc>
      </w:tr>
      <w:tr w:rsidR="00854AD1" w:rsidRPr="00854AD1" w14:paraId="73011F87" w14:textId="77777777" w:rsidTr="00C66114">
        <w:trPr>
          <w:trHeight w:val="359"/>
        </w:trPr>
        <w:tc>
          <w:tcPr>
            <w:tcW w:w="2051" w:type="dxa"/>
          </w:tcPr>
          <w:p w14:paraId="465745BC"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1 – Week 1</w:t>
            </w:r>
          </w:p>
        </w:tc>
        <w:tc>
          <w:tcPr>
            <w:tcW w:w="1672" w:type="dxa"/>
          </w:tcPr>
          <w:p w14:paraId="1D1B2560"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May 15</w:t>
            </w:r>
          </w:p>
        </w:tc>
        <w:tc>
          <w:tcPr>
            <w:tcW w:w="1989" w:type="dxa"/>
          </w:tcPr>
          <w:p w14:paraId="357592D1"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1</w:t>
            </w:r>
          </w:p>
        </w:tc>
        <w:tc>
          <w:tcPr>
            <w:tcW w:w="1989" w:type="dxa"/>
          </w:tcPr>
          <w:p w14:paraId="7A8E2594"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In-person</w:t>
            </w:r>
          </w:p>
        </w:tc>
        <w:tc>
          <w:tcPr>
            <w:tcW w:w="2154" w:type="dxa"/>
          </w:tcPr>
          <w:p w14:paraId="3A448DCF"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Home Assignment 1 </w:t>
            </w:r>
            <w:r w:rsidRPr="00854AD1">
              <w:rPr>
                <w:rFonts w:asciiTheme="minorHAnsi" w:eastAsiaTheme="minorHAnsi" w:hAnsiTheme="minorHAnsi" w:cstheme="minorBidi"/>
                <w:i/>
                <w:iCs/>
                <w:color w:val="C45911" w:themeColor="accent2" w:themeShade="BF"/>
              </w:rPr>
              <w:t>Due May 18</w:t>
            </w:r>
          </w:p>
        </w:tc>
      </w:tr>
      <w:tr w:rsidR="00854AD1" w:rsidRPr="00854AD1" w14:paraId="24D0C6A6" w14:textId="77777777" w:rsidTr="00C66114">
        <w:trPr>
          <w:trHeight w:val="359"/>
        </w:trPr>
        <w:tc>
          <w:tcPr>
            <w:tcW w:w="2051" w:type="dxa"/>
          </w:tcPr>
          <w:p w14:paraId="0D237C60"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2 – Week 1</w:t>
            </w:r>
          </w:p>
        </w:tc>
        <w:tc>
          <w:tcPr>
            <w:tcW w:w="1672" w:type="dxa"/>
          </w:tcPr>
          <w:p w14:paraId="25672BF2"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May 17</w:t>
            </w:r>
          </w:p>
        </w:tc>
        <w:tc>
          <w:tcPr>
            <w:tcW w:w="1989" w:type="dxa"/>
          </w:tcPr>
          <w:p w14:paraId="020D97D1"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2</w:t>
            </w:r>
          </w:p>
        </w:tc>
        <w:tc>
          <w:tcPr>
            <w:tcW w:w="1989" w:type="dxa"/>
          </w:tcPr>
          <w:p w14:paraId="5E85E98B"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In-person </w:t>
            </w:r>
          </w:p>
        </w:tc>
        <w:tc>
          <w:tcPr>
            <w:tcW w:w="2154" w:type="dxa"/>
          </w:tcPr>
          <w:p w14:paraId="525D5150"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Home Assignment 2</w:t>
            </w:r>
          </w:p>
          <w:p w14:paraId="61055668"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i/>
                <w:iCs/>
                <w:color w:val="C45911" w:themeColor="accent2" w:themeShade="BF"/>
              </w:rPr>
              <w:t xml:space="preserve">Due May 22 </w:t>
            </w:r>
          </w:p>
        </w:tc>
      </w:tr>
      <w:tr w:rsidR="00854AD1" w:rsidRPr="00854AD1" w14:paraId="5144F04E" w14:textId="77777777" w:rsidTr="00C66114">
        <w:trPr>
          <w:trHeight w:val="345"/>
        </w:trPr>
        <w:tc>
          <w:tcPr>
            <w:tcW w:w="2051" w:type="dxa"/>
          </w:tcPr>
          <w:p w14:paraId="7861933C"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3 – Week 2</w:t>
            </w:r>
          </w:p>
        </w:tc>
        <w:tc>
          <w:tcPr>
            <w:tcW w:w="1672" w:type="dxa"/>
          </w:tcPr>
          <w:p w14:paraId="525A6932"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May 22</w:t>
            </w:r>
          </w:p>
        </w:tc>
        <w:tc>
          <w:tcPr>
            <w:tcW w:w="1989" w:type="dxa"/>
          </w:tcPr>
          <w:p w14:paraId="71827B80"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3</w:t>
            </w:r>
          </w:p>
        </w:tc>
        <w:tc>
          <w:tcPr>
            <w:tcW w:w="1989" w:type="dxa"/>
          </w:tcPr>
          <w:p w14:paraId="35C8E39F"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76D129FE"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3 </w:t>
            </w:r>
            <w:r w:rsidRPr="00854AD1">
              <w:rPr>
                <w:rFonts w:asciiTheme="minorHAnsi" w:eastAsiaTheme="minorHAnsi" w:hAnsiTheme="minorHAnsi" w:cstheme="minorBidi"/>
                <w:i/>
                <w:iCs/>
                <w:color w:val="C45911" w:themeColor="accent2" w:themeShade="BF"/>
              </w:rPr>
              <w:t>Due after class</w:t>
            </w:r>
          </w:p>
        </w:tc>
      </w:tr>
      <w:tr w:rsidR="00854AD1" w:rsidRPr="00854AD1" w14:paraId="5D4590F2" w14:textId="77777777" w:rsidTr="00C66114">
        <w:trPr>
          <w:trHeight w:val="359"/>
        </w:trPr>
        <w:tc>
          <w:tcPr>
            <w:tcW w:w="9855" w:type="dxa"/>
            <w:gridSpan w:val="5"/>
          </w:tcPr>
          <w:p w14:paraId="5CC3C410"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Quiz from Module 1, 2 and 3 May 23</w:t>
            </w:r>
            <w:r w:rsidRPr="00854AD1">
              <w:rPr>
                <w:rFonts w:asciiTheme="minorHAnsi" w:eastAsiaTheme="minorHAnsi" w:hAnsiTheme="minorHAnsi" w:cstheme="minorBidi"/>
                <w:vertAlign w:val="superscript"/>
              </w:rPr>
              <w:t>rd</w:t>
            </w:r>
            <w:r w:rsidRPr="00854AD1">
              <w:rPr>
                <w:rFonts w:asciiTheme="minorHAnsi" w:eastAsiaTheme="minorHAnsi" w:hAnsiTheme="minorHAnsi" w:cstheme="minorBidi"/>
              </w:rPr>
              <w:t xml:space="preserve"> </w:t>
            </w:r>
            <w:r w:rsidRPr="00854AD1">
              <w:rPr>
                <w:rFonts w:asciiTheme="minorHAnsi" w:eastAsiaTheme="minorHAnsi" w:hAnsiTheme="minorHAnsi" w:cstheme="minorBidi"/>
                <w:highlight w:val="yellow"/>
              </w:rPr>
              <w:t>Time TBD</w:t>
            </w:r>
          </w:p>
        </w:tc>
      </w:tr>
      <w:tr w:rsidR="00854AD1" w:rsidRPr="00854AD1" w14:paraId="5C077FF2" w14:textId="77777777" w:rsidTr="00C66114">
        <w:trPr>
          <w:trHeight w:val="359"/>
        </w:trPr>
        <w:tc>
          <w:tcPr>
            <w:tcW w:w="2051" w:type="dxa"/>
          </w:tcPr>
          <w:p w14:paraId="50D68CC6"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4 – Week 2</w:t>
            </w:r>
          </w:p>
        </w:tc>
        <w:tc>
          <w:tcPr>
            <w:tcW w:w="1672" w:type="dxa"/>
          </w:tcPr>
          <w:p w14:paraId="51E3613E"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May 24</w:t>
            </w:r>
          </w:p>
        </w:tc>
        <w:tc>
          <w:tcPr>
            <w:tcW w:w="1989" w:type="dxa"/>
          </w:tcPr>
          <w:p w14:paraId="1B167525"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4</w:t>
            </w:r>
          </w:p>
        </w:tc>
        <w:tc>
          <w:tcPr>
            <w:tcW w:w="1989" w:type="dxa"/>
          </w:tcPr>
          <w:p w14:paraId="4798DC51"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4E48DB07"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4 </w:t>
            </w:r>
            <w:r w:rsidRPr="00854AD1">
              <w:rPr>
                <w:rFonts w:asciiTheme="minorHAnsi" w:eastAsiaTheme="minorHAnsi" w:hAnsiTheme="minorHAnsi" w:cstheme="minorBidi"/>
                <w:i/>
                <w:iCs/>
                <w:color w:val="C45911" w:themeColor="accent2" w:themeShade="BF"/>
              </w:rPr>
              <w:t>Due after class</w:t>
            </w:r>
          </w:p>
        </w:tc>
      </w:tr>
      <w:tr w:rsidR="00854AD1" w:rsidRPr="00854AD1" w14:paraId="1644F4AC" w14:textId="77777777" w:rsidTr="00C66114">
        <w:trPr>
          <w:trHeight w:val="359"/>
        </w:trPr>
        <w:tc>
          <w:tcPr>
            <w:tcW w:w="2051" w:type="dxa"/>
          </w:tcPr>
          <w:p w14:paraId="26C4500A"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5 – Week 3</w:t>
            </w:r>
          </w:p>
        </w:tc>
        <w:tc>
          <w:tcPr>
            <w:tcW w:w="1672" w:type="dxa"/>
          </w:tcPr>
          <w:p w14:paraId="543F6367"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May 29</w:t>
            </w:r>
          </w:p>
        </w:tc>
        <w:tc>
          <w:tcPr>
            <w:tcW w:w="1989" w:type="dxa"/>
          </w:tcPr>
          <w:p w14:paraId="1ED5431B"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5</w:t>
            </w:r>
          </w:p>
        </w:tc>
        <w:tc>
          <w:tcPr>
            <w:tcW w:w="1989" w:type="dxa"/>
          </w:tcPr>
          <w:p w14:paraId="767C30BB"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1566728B"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5 </w:t>
            </w:r>
            <w:r w:rsidRPr="00854AD1">
              <w:rPr>
                <w:rFonts w:asciiTheme="minorHAnsi" w:eastAsiaTheme="minorHAnsi" w:hAnsiTheme="minorHAnsi" w:cstheme="minorBidi"/>
                <w:i/>
                <w:iCs/>
                <w:color w:val="C45911" w:themeColor="accent2" w:themeShade="BF"/>
              </w:rPr>
              <w:t>Due after class</w:t>
            </w:r>
          </w:p>
        </w:tc>
      </w:tr>
      <w:tr w:rsidR="00854AD1" w:rsidRPr="00854AD1" w14:paraId="51BD4F53" w14:textId="77777777" w:rsidTr="00C66114">
        <w:trPr>
          <w:trHeight w:val="359"/>
        </w:trPr>
        <w:tc>
          <w:tcPr>
            <w:tcW w:w="2051" w:type="dxa"/>
          </w:tcPr>
          <w:p w14:paraId="6E6B2A78"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6 – Week 3</w:t>
            </w:r>
          </w:p>
        </w:tc>
        <w:tc>
          <w:tcPr>
            <w:tcW w:w="1672" w:type="dxa"/>
          </w:tcPr>
          <w:p w14:paraId="20494272"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May 31</w:t>
            </w:r>
          </w:p>
        </w:tc>
        <w:tc>
          <w:tcPr>
            <w:tcW w:w="1989" w:type="dxa"/>
          </w:tcPr>
          <w:p w14:paraId="3586C4D7"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6</w:t>
            </w:r>
          </w:p>
        </w:tc>
        <w:tc>
          <w:tcPr>
            <w:tcW w:w="1989" w:type="dxa"/>
          </w:tcPr>
          <w:p w14:paraId="0E3A3324"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69C8A70B"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6 </w:t>
            </w:r>
            <w:r w:rsidRPr="00854AD1">
              <w:rPr>
                <w:rFonts w:asciiTheme="minorHAnsi" w:eastAsiaTheme="minorHAnsi" w:hAnsiTheme="minorHAnsi" w:cstheme="minorBidi"/>
                <w:i/>
                <w:iCs/>
                <w:color w:val="C45911" w:themeColor="accent2" w:themeShade="BF"/>
              </w:rPr>
              <w:t>Due after class</w:t>
            </w:r>
          </w:p>
        </w:tc>
      </w:tr>
      <w:tr w:rsidR="00854AD1" w:rsidRPr="00854AD1" w14:paraId="17989DA7" w14:textId="77777777" w:rsidTr="00C66114">
        <w:trPr>
          <w:trHeight w:val="359"/>
        </w:trPr>
        <w:tc>
          <w:tcPr>
            <w:tcW w:w="9855" w:type="dxa"/>
            <w:gridSpan w:val="5"/>
          </w:tcPr>
          <w:p w14:paraId="6699066E"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Quiz from Module 4, 5 and 6 Jun 1</w:t>
            </w:r>
            <w:r w:rsidRPr="00854AD1">
              <w:rPr>
                <w:rFonts w:asciiTheme="minorHAnsi" w:eastAsiaTheme="minorHAnsi" w:hAnsiTheme="minorHAnsi" w:cstheme="minorBidi"/>
                <w:vertAlign w:val="superscript"/>
              </w:rPr>
              <w:t xml:space="preserve">st </w:t>
            </w:r>
            <w:r w:rsidRPr="00854AD1">
              <w:rPr>
                <w:rFonts w:asciiTheme="minorHAnsi" w:eastAsiaTheme="minorHAnsi" w:hAnsiTheme="minorHAnsi" w:cstheme="minorBidi"/>
                <w:highlight w:val="yellow"/>
              </w:rPr>
              <w:t>TIME TBD</w:t>
            </w:r>
          </w:p>
        </w:tc>
      </w:tr>
      <w:tr w:rsidR="00854AD1" w:rsidRPr="00854AD1" w14:paraId="19466C8E" w14:textId="77777777" w:rsidTr="00C66114">
        <w:trPr>
          <w:trHeight w:val="359"/>
        </w:trPr>
        <w:tc>
          <w:tcPr>
            <w:tcW w:w="2051" w:type="dxa"/>
          </w:tcPr>
          <w:p w14:paraId="54E4D487"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7 – Week 4</w:t>
            </w:r>
          </w:p>
        </w:tc>
        <w:tc>
          <w:tcPr>
            <w:tcW w:w="1672" w:type="dxa"/>
          </w:tcPr>
          <w:p w14:paraId="69BA161C"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June 5</w:t>
            </w:r>
          </w:p>
        </w:tc>
        <w:tc>
          <w:tcPr>
            <w:tcW w:w="1989" w:type="dxa"/>
          </w:tcPr>
          <w:p w14:paraId="22EF0C90"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Module 7 </w:t>
            </w:r>
          </w:p>
        </w:tc>
        <w:tc>
          <w:tcPr>
            <w:tcW w:w="1989" w:type="dxa"/>
          </w:tcPr>
          <w:p w14:paraId="47C1A25D"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6A7EB082"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7 </w:t>
            </w:r>
            <w:r w:rsidRPr="00854AD1">
              <w:rPr>
                <w:rFonts w:asciiTheme="minorHAnsi" w:eastAsiaTheme="minorHAnsi" w:hAnsiTheme="minorHAnsi" w:cstheme="minorBidi"/>
                <w:i/>
                <w:iCs/>
                <w:color w:val="C45911" w:themeColor="accent2" w:themeShade="BF"/>
              </w:rPr>
              <w:t>Due after class</w:t>
            </w:r>
          </w:p>
        </w:tc>
      </w:tr>
      <w:tr w:rsidR="00854AD1" w:rsidRPr="00854AD1" w14:paraId="77A09258" w14:textId="77777777" w:rsidTr="00C66114">
        <w:trPr>
          <w:trHeight w:val="345"/>
        </w:trPr>
        <w:tc>
          <w:tcPr>
            <w:tcW w:w="2051" w:type="dxa"/>
          </w:tcPr>
          <w:p w14:paraId="3DBF4AB1"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8 – Week 4</w:t>
            </w:r>
          </w:p>
        </w:tc>
        <w:tc>
          <w:tcPr>
            <w:tcW w:w="1672" w:type="dxa"/>
          </w:tcPr>
          <w:p w14:paraId="6EA15099"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June 7</w:t>
            </w:r>
          </w:p>
        </w:tc>
        <w:tc>
          <w:tcPr>
            <w:tcW w:w="1989" w:type="dxa"/>
          </w:tcPr>
          <w:p w14:paraId="3D9DF7CA"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8</w:t>
            </w:r>
          </w:p>
        </w:tc>
        <w:tc>
          <w:tcPr>
            <w:tcW w:w="1989" w:type="dxa"/>
          </w:tcPr>
          <w:p w14:paraId="7037E41C"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2B36FD4F"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8 </w:t>
            </w:r>
            <w:r w:rsidRPr="00854AD1">
              <w:rPr>
                <w:rFonts w:asciiTheme="minorHAnsi" w:eastAsiaTheme="minorHAnsi" w:hAnsiTheme="minorHAnsi" w:cstheme="minorBidi"/>
                <w:i/>
                <w:iCs/>
                <w:color w:val="C45911" w:themeColor="accent2" w:themeShade="BF"/>
              </w:rPr>
              <w:t>Due after class</w:t>
            </w:r>
          </w:p>
        </w:tc>
      </w:tr>
      <w:tr w:rsidR="00854AD1" w:rsidRPr="00854AD1" w14:paraId="7970A680" w14:textId="77777777" w:rsidTr="00C66114">
        <w:trPr>
          <w:trHeight w:val="359"/>
        </w:trPr>
        <w:tc>
          <w:tcPr>
            <w:tcW w:w="2051" w:type="dxa"/>
          </w:tcPr>
          <w:p w14:paraId="661B2138"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9 – Week 5</w:t>
            </w:r>
          </w:p>
        </w:tc>
        <w:tc>
          <w:tcPr>
            <w:tcW w:w="1672" w:type="dxa"/>
          </w:tcPr>
          <w:p w14:paraId="39D646DF"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June 12</w:t>
            </w:r>
          </w:p>
        </w:tc>
        <w:tc>
          <w:tcPr>
            <w:tcW w:w="1989" w:type="dxa"/>
          </w:tcPr>
          <w:p w14:paraId="6C69B792"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9</w:t>
            </w:r>
          </w:p>
        </w:tc>
        <w:tc>
          <w:tcPr>
            <w:tcW w:w="1989" w:type="dxa"/>
          </w:tcPr>
          <w:p w14:paraId="2EB43EB9"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53D6FB39"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9 </w:t>
            </w:r>
            <w:r w:rsidRPr="00854AD1">
              <w:rPr>
                <w:rFonts w:asciiTheme="minorHAnsi" w:eastAsiaTheme="minorHAnsi" w:hAnsiTheme="minorHAnsi" w:cstheme="minorBidi"/>
                <w:i/>
                <w:iCs/>
                <w:color w:val="C45911" w:themeColor="accent2" w:themeShade="BF"/>
              </w:rPr>
              <w:t>Due after class</w:t>
            </w:r>
          </w:p>
        </w:tc>
      </w:tr>
      <w:tr w:rsidR="00854AD1" w:rsidRPr="00854AD1" w14:paraId="64DE3F91" w14:textId="77777777" w:rsidTr="00C66114">
        <w:trPr>
          <w:trHeight w:val="359"/>
        </w:trPr>
        <w:tc>
          <w:tcPr>
            <w:tcW w:w="2051" w:type="dxa"/>
          </w:tcPr>
          <w:p w14:paraId="71B072CF"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10 – Week 5</w:t>
            </w:r>
          </w:p>
        </w:tc>
        <w:tc>
          <w:tcPr>
            <w:tcW w:w="1672" w:type="dxa"/>
          </w:tcPr>
          <w:p w14:paraId="19316836"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June 14</w:t>
            </w:r>
          </w:p>
        </w:tc>
        <w:tc>
          <w:tcPr>
            <w:tcW w:w="1989" w:type="dxa"/>
          </w:tcPr>
          <w:p w14:paraId="1777A095"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Module 10</w:t>
            </w:r>
          </w:p>
        </w:tc>
        <w:tc>
          <w:tcPr>
            <w:tcW w:w="1989" w:type="dxa"/>
          </w:tcPr>
          <w:p w14:paraId="63583A1C"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Flip</w:t>
            </w:r>
          </w:p>
        </w:tc>
        <w:tc>
          <w:tcPr>
            <w:tcW w:w="2154" w:type="dxa"/>
          </w:tcPr>
          <w:p w14:paraId="4ABA3709"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 xml:space="preserve">In-class assignment – 10 </w:t>
            </w:r>
            <w:r w:rsidRPr="00854AD1">
              <w:rPr>
                <w:rFonts w:asciiTheme="minorHAnsi" w:eastAsiaTheme="minorHAnsi" w:hAnsiTheme="minorHAnsi" w:cstheme="minorBidi"/>
                <w:i/>
                <w:iCs/>
                <w:color w:val="C45911" w:themeColor="accent2" w:themeShade="BF"/>
              </w:rPr>
              <w:t>Due after class</w:t>
            </w:r>
          </w:p>
        </w:tc>
      </w:tr>
      <w:tr w:rsidR="00854AD1" w:rsidRPr="00854AD1" w14:paraId="58293C88" w14:textId="77777777" w:rsidTr="00C66114">
        <w:trPr>
          <w:trHeight w:val="359"/>
        </w:trPr>
        <w:tc>
          <w:tcPr>
            <w:tcW w:w="2051" w:type="dxa"/>
          </w:tcPr>
          <w:p w14:paraId="3D397BB6"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Class 11 – Week 6</w:t>
            </w:r>
          </w:p>
        </w:tc>
        <w:tc>
          <w:tcPr>
            <w:tcW w:w="1672" w:type="dxa"/>
          </w:tcPr>
          <w:p w14:paraId="614BCD62"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June 19</w:t>
            </w:r>
          </w:p>
        </w:tc>
        <w:tc>
          <w:tcPr>
            <w:tcW w:w="6132" w:type="dxa"/>
            <w:gridSpan w:val="3"/>
          </w:tcPr>
          <w:p w14:paraId="34130165" w14:textId="77777777" w:rsidR="00854AD1" w:rsidRPr="00854AD1" w:rsidRDefault="00854AD1" w:rsidP="00854AD1">
            <w:pPr>
              <w:widowControl/>
              <w:autoSpaceDE/>
              <w:autoSpaceDN/>
              <w:rPr>
                <w:rFonts w:asciiTheme="minorHAnsi" w:eastAsiaTheme="minorHAnsi" w:hAnsiTheme="minorHAnsi" w:cstheme="minorBidi"/>
                <w:i/>
                <w:iCs/>
              </w:rPr>
            </w:pPr>
            <w:r w:rsidRPr="00854AD1">
              <w:rPr>
                <w:rFonts w:asciiTheme="minorHAnsi" w:eastAsiaTheme="minorHAnsi" w:hAnsiTheme="minorHAnsi" w:cstheme="minorBidi"/>
                <w:i/>
                <w:iCs/>
              </w:rPr>
              <w:t>Reserve Day</w:t>
            </w:r>
          </w:p>
        </w:tc>
      </w:tr>
      <w:tr w:rsidR="00854AD1" w:rsidRPr="00854AD1" w14:paraId="556B2CF8" w14:textId="77777777" w:rsidTr="00C66114">
        <w:trPr>
          <w:trHeight w:val="359"/>
        </w:trPr>
        <w:tc>
          <w:tcPr>
            <w:tcW w:w="9855" w:type="dxa"/>
            <w:gridSpan w:val="5"/>
          </w:tcPr>
          <w:p w14:paraId="41041A21" w14:textId="77777777" w:rsidR="00854AD1" w:rsidRPr="00854AD1" w:rsidRDefault="00854AD1" w:rsidP="00854AD1">
            <w:pPr>
              <w:widowControl/>
              <w:autoSpaceDE/>
              <w:autoSpaceDN/>
              <w:rPr>
                <w:rFonts w:asciiTheme="minorHAnsi" w:eastAsiaTheme="minorHAnsi" w:hAnsiTheme="minorHAnsi" w:cstheme="minorBidi"/>
              </w:rPr>
            </w:pPr>
            <w:r w:rsidRPr="00854AD1">
              <w:rPr>
                <w:rFonts w:asciiTheme="minorHAnsi" w:eastAsiaTheme="minorHAnsi" w:hAnsiTheme="minorHAnsi" w:cstheme="minorBidi"/>
              </w:rPr>
              <w:t>Quiz from Module 7 -10, Jun 19/20</w:t>
            </w:r>
            <w:r w:rsidRPr="00854AD1">
              <w:rPr>
                <w:rFonts w:asciiTheme="minorHAnsi" w:eastAsiaTheme="minorHAnsi" w:hAnsiTheme="minorHAnsi" w:cstheme="minorBidi"/>
                <w:vertAlign w:val="superscript"/>
              </w:rPr>
              <w:t xml:space="preserve"> </w:t>
            </w:r>
            <w:r w:rsidRPr="00854AD1">
              <w:rPr>
                <w:rFonts w:asciiTheme="minorHAnsi" w:eastAsiaTheme="minorHAnsi" w:hAnsiTheme="minorHAnsi" w:cstheme="minorBidi"/>
                <w:highlight w:val="yellow"/>
              </w:rPr>
              <w:t>TIME TBD</w:t>
            </w:r>
          </w:p>
        </w:tc>
      </w:tr>
    </w:tbl>
    <w:p w14:paraId="6A520E78" w14:textId="77777777" w:rsidR="00854AD1" w:rsidRPr="00EF0CD4" w:rsidRDefault="00854AD1" w:rsidP="00F708EA">
      <w:pPr>
        <w:pStyle w:val="Heading1"/>
        <w:spacing w:line="240" w:lineRule="auto"/>
        <w:ind w:left="0"/>
      </w:pPr>
    </w:p>
    <w:p w14:paraId="6AF95DED" w14:textId="77777777" w:rsidR="00F708EA" w:rsidRPr="00EF0CD4" w:rsidRDefault="00F708EA" w:rsidP="00F708EA">
      <w:pPr>
        <w:spacing w:line="251" w:lineRule="exact"/>
      </w:pPr>
      <w:r w:rsidRPr="00EF0CD4">
        <w:rPr>
          <w:b/>
        </w:rPr>
        <w:t xml:space="preserve">UNIVERSITY POLICY ON ACCOMMODATING STUDENTS WITH DISABILITIES: </w:t>
      </w:r>
      <w:r w:rsidRPr="00EF0CD4">
        <w:t>Students</w:t>
      </w:r>
    </w:p>
    <w:p w14:paraId="7B953A6A" w14:textId="77777777" w:rsidR="00F708EA" w:rsidRPr="00EF0CD4" w:rsidRDefault="00F708EA" w:rsidP="00F708EA">
      <w:pPr>
        <w:pStyle w:val="BodyText"/>
        <w:ind w:right="671"/>
        <w:jc w:val="both"/>
        <w:rPr>
          <w:sz w:val="22"/>
          <w:szCs w:val="22"/>
        </w:rPr>
      </w:pPr>
      <w:r w:rsidRPr="00EF0CD4">
        <w:rPr>
          <w:sz w:val="22"/>
          <w:szCs w:val="22"/>
        </w:rPr>
        <w:t>requesting accommodation for disabilities must first register with the Dean of Students Office (</w:t>
      </w:r>
      <w:hyperlink r:id="rId10">
        <w:r w:rsidRPr="00EF0CD4">
          <w:rPr>
            <w:color w:val="0000FF"/>
            <w:sz w:val="22"/>
            <w:szCs w:val="22"/>
            <w:u w:val="single" w:color="0000FF"/>
          </w:rPr>
          <w:t>http://www.dso.ufl.edu/drc/</w:t>
        </w:r>
      </w:hyperlink>
      <w:r w:rsidRPr="00EF0CD4">
        <w:rPr>
          <w:sz w:val="22"/>
          <w:szCs w:val="22"/>
        </w:rPr>
        <w:t>). The Dean of Students Office will provide documentation to the student who must then provide this documentation to the instructor when requesting accommodation. You must submit this documentation prior to submitting assignments (discussion, term paper, extra credit) or taking the quizzes or exams. Accommodations are not retroactive, therefore, students should contact the office as soon as possible in the term for which they are seeking accommodations.</w:t>
      </w:r>
    </w:p>
    <w:p w14:paraId="26EEF550" w14:textId="77777777" w:rsidR="00F708EA" w:rsidRPr="00EF0CD4" w:rsidRDefault="00F708EA" w:rsidP="00F708EA">
      <w:pPr>
        <w:pStyle w:val="BodyText"/>
        <w:spacing w:before="1"/>
        <w:ind w:right="609"/>
        <w:jc w:val="both"/>
        <w:rPr>
          <w:sz w:val="22"/>
          <w:szCs w:val="22"/>
        </w:rPr>
      </w:pPr>
      <w:r w:rsidRPr="00EF0CD4">
        <w:rPr>
          <w:b/>
          <w:sz w:val="22"/>
          <w:szCs w:val="22"/>
        </w:rPr>
        <w:t xml:space="preserve">UNIVERSITY POLICY ON ACADEMIC MISCONDUCT: </w:t>
      </w:r>
      <w:r w:rsidRPr="00EF0CD4">
        <w:rPr>
          <w:sz w:val="22"/>
          <w:szCs w:val="22"/>
        </w:rPr>
        <w:t xml:space="preserve">Academic honesty and integrity are fundamental values of the University community. Students should be sure that they understand the UF Student Honor Code at </w:t>
      </w:r>
      <w:hyperlink r:id="rId11">
        <w:r w:rsidRPr="00EF0CD4">
          <w:rPr>
            <w:color w:val="0000FF"/>
            <w:sz w:val="22"/>
            <w:szCs w:val="22"/>
            <w:u w:val="single" w:color="0000FF"/>
          </w:rPr>
          <w:t>http://www.dso.ufl.edu/students.php</w:t>
        </w:r>
        <w:r w:rsidRPr="00EF0CD4">
          <w:rPr>
            <w:sz w:val="22"/>
            <w:szCs w:val="22"/>
          </w:rPr>
          <w:t>.</w:t>
        </w:r>
      </w:hyperlink>
      <w:r w:rsidRPr="00EF0CD4">
        <w:rPr>
          <w:sz w:val="22"/>
          <w:szCs w:val="22"/>
        </w:rPr>
        <w:t xml:space="preserve"> The Honor Code will be applied in the class. We, the members of the University of Florida community, pledge to hold ourselves and our peers to the highest standards of honesty and integrity. On all work submitted for credit by students at the university, the following pledge is either required or implied: "On my honor, I have neither given nor received unauthorized aid in doing this assignment." It is Rinker School policy that any incident of cheating, copying, or other attempts to deceive will be penalized by course failure.</w:t>
      </w:r>
    </w:p>
    <w:p w14:paraId="3845BAD5" w14:textId="77777777" w:rsidR="00F708EA" w:rsidRPr="00EF0CD4" w:rsidRDefault="00F708EA" w:rsidP="00F708EA">
      <w:pPr>
        <w:pStyle w:val="BodyText"/>
        <w:ind w:right="783"/>
        <w:jc w:val="both"/>
        <w:rPr>
          <w:sz w:val="22"/>
          <w:szCs w:val="22"/>
        </w:rPr>
      </w:pPr>
      <w:r w:rsidRPr="00EF0CD4">
        <w:rPr>
          <w:b/>
          <w:sz w:val="22"/>
          <w:szCs w:val="22"/>
        </w:rPr>
        <w:t xml:space="preserve">NETIQUETTE, COMMUNICATION COURTESY POLICY: </w:t>
      </w:r>
      <w:r w:rsidRPr="00EF0CD4">
        <w:rPr>
          <w:sz w:val="22"/>
          <w:szCs w:val="22"/>
        </w:rPr>
        <w:t xml:space="preserve">All members of the class are expected to follow rules of common courtesy in all email messages, threaded discussions and chats. Detailed guide is available at </w:t>
      </w:r>
      <w:hyperlink r:id="rId12">
        <w:r w:rsidRPr="00EF0CD4">
          <w:rPr>
            <w:color w:val="0000FF"/>
            <w:sz w:val="22"/>
            <w:szCs w:val="22"/>
            <w:u w:val="single" w:color="0000FF"/>
          </w:rPr>
          <w:t>http://teach.ufl.edu/wp-content/uploads/2012/08/NetiquetteGuideforOnlineCourses.pdf</w:t>
        </w:r>
      </w:hyperlink>
    </w:p>
    <w:p w14:paraId="661D3CC4" w14:textId="575B7EFA" w:rsidR="00F708EA" w:rsidRDefault="00F708EA" w:rsidP="00F708EA">
      <w:pPr>
        <w:jc w:val="both"/>
      </w:pPr>
    </w:p>
    <w:p w14:paraId="6C232A4A" w14:textId="77777777" w:rsidR="003719E9" w:rsidRDefault="003719E9" w:rsidP="00F708EA">
      <w:pPr>
        <w:jc w:val="both"/>
      </w:pPr>
    </w:p>
    <w:p w14:paraId="47F25C70" w14:textId="77777777" w:rsidR="00F708EA" w:rsidRPr="00EF0CD4" w:rsidRDefault="00F708EA" w:rsidP="00F708EA">
      <w:pPr>
        <w:pStyle w:val="BodyText"/>
        <w:spacing w:before="79"/>
        <w:ind w:right="609"/>
        <w:jc w:val="both"/>
        <w:rPr>
          <w:sz w:val="22"/>
          <w:szCs w:val="22"/>
        </w:rPr>
      </w:pPr>
      <w:r w:rsidRPr="00EF0CD4">
        <w:rPr>
          <w:b/>
          <w:sz w:val="22"/>
          <w:szCs w:val="22"/>
        </w:rPr>
        <w:t xml:space="preserve">GETTING HELP WITH E-LEARNING WEBSITE: </w:t>
      </w:r>
      <w:r w:rsidRPr="00EF0CD4">
        <w:rPr>
          <w:sz w:val="22"/>
          <w:szCs w:val="22"/>
        </w:rPr>
        <w:t xml:space="preserve">In the case you have technical difficulties with e- Learning in Canvas, please contact the UF Help Desk at: </w:t>
      </w:r>
      <w:hyperlink r:id="rId13">
        <w:r w:rsidRPr="00EF0CD4">
          <w:rPr>
            <w:color w:val="0000FF"/>
            <w:sz w:val="22"/>
            <w:szCs w:val="22"/>
            <w:u w:val="single" w:color="0000FF"/>
          </w:rPr>
          <w:t>Learning-support@ufl.edu</w:t>
        </w:r>
        <w:r w:rsidRPr="00EF0CD4">
          <w:rPr>
            <w:sz w:val="22"/>
            <w:szCs w:val="22"/>
          </w:rPr>
          <w:t xml:space="preserve">; </w:t>
        </w:r>
      </w:hyperlink>
      <w:r w:rsidRPr="00EF0CD4">
        <w:rPr>
          <w:sz w:val="22"/>
          <w:szCs w:val="22"/>
        </w:rPr>
        <w:t xml:space="preserve">(352) 392-HELP - select option 2; </w:t>
      </w:r>
      <w:hyperlink r:id="rId14">
        <w:r w:rsidRPr="00EF0CD4">
          <w:rPr>
            <w:color w:val="0000FF"/>
            <w:sz w:val="22"/>
            <w:szCs w:val="22"/>
            <w:u w:val="single" w:color="0000FF"/>
          </w:rPr>
          <w:t xml:space="preserve">https://lss.at.ufl.edu/help.shtml </w:t>
        </w:r>
      </w:hyperlink>
      <w:r w:rsidRPr="00EF0CD4">
        <w:rPr>
          <w:color w:val="0000FF"/>
          <w:sz w:val="22"/>
          <w:szCs w:val="22"/>
          <w:u w:val="single" w:color="0000FF"/>
        </w:rPr>
        <w:t xml:space="preserve">. </w:t>
      </w:r>
      <w:r w:rsidRPr="00EF0CD4">
        <w:rPr>
          <w:sz w:val="22"/>
          <w:szCs w:val="22"/>
        </w:rPr>
        <w:t xml:space="preserve">If your technical difficulties will cause you to miss a due date/time, you MUST report the problem to the UF Help Desk </w:t>
      </w:r>
      <w:r w:rsidRPr="00EF0CD4">
        <w:rPr>
          <w:b/>
          <w:sz w:val="22"/>
          <w:szCs w:val="22"/>
        </w:rPr>
        <w:t xml:space="preserve">before </w:t>
      </w:r>
      <w:r w:rsidRPr="00EF0CD4">
        <w:rPr>
          <w:sz w:val="22"/>
          <w:szCs w:val="22"/>
        </w:rPr>
        <w:t>the due date/time.</w:t>
      </w:r>
    </w:p>
    <w:p w14:paraId="37D1181E" w14:textId="77777777" w:rsidR="00F708EA" w:rsidRPr="00EF0CD4" w:rsidRDefault="00F708EA" w:rsidP="00F708EA">
      <w:pPr>
        <w:pStyle w:val="BodyText"/>
        <w:ind w:right="670"/>
        <w:jc w:val="both"/>
        <w:rPr>
          <w:sz w:val="22"/>
          <w:szCs w:val="22"/>
        </w:rPr>
      </w:pPr>
      <w:r w:rsidRPr="00EF0CD4">
        <w:rPr>
          <w:b/>
          <w:sz w:val="22"/>
          <w:szCs w:val="22"/>
        </w:rPr>
        <w:t>CELLPHONES</w:t>
      </w:r>
      <w:r w:rsidRPr="00EF0CD4">
        <w:rPr>
          <w:sz w:val="22"/>
          <w:szCs w:val="22"/>
        </w:rPr>
        <w:t>. Cellphone use is not allowed in classrooms. Use of cellphones during class will discount attendance. Use of cellphones during an exam will result in failing the exam.</w:t>
      </w:r>
    </w:p>
    <w:p w14:paraId="6B971229" w14:textId="77777777" w:rsidR="00F708EA" w:rsidRPr="00EF0CD4" w:rsidRDefault="00F708EA" w:rsidP="00F708EA">
      <w:pPr>
        <w:pStyle w:val="BodyText"/>
        <w:spacing w:line="242" w:lineRule="auto"/>
        <w:ind w:right="586"/>
        <w:jc w:val="both"/>
        <w:rPr>
          <w:b/>
          <w:sz w:val="22"/>
          <w:szCs w:val="22"/>
        </w:rPr>
      </w:pPr>
      <w:r w:rsidRPr="00EF0CD4">
        <w:rPr>
          <w:b/>
          <w:sz w:val="22"/>
          <w:szCs w:val="22"/>
        </w:rPr>
        <w:t>LAPTOPS &amp; TABLETS</w:t>
      </w:r>
      <w:r w:rsidRPr="00EF0CD4">
        <w:rPr>
          <w:sz w:val="22"/>
          <w:szCs w:val="22"/>
        </w:rPr>
        <w:t xml:space="preserve">. These devices should only be used to take notes related to lectures. Use of these devices for social media or any other unrelated purposes during class hours will result in a penalty of 10 points for every incident. </w:t>
      </w:r>
      <w:r w:rsidRPr="00EF0CD4">
        <w:rPr>
          <w:b/>
          <w:sz w:val="22"/>
          <w:szCs w:val="22"/>
        </w:rPr>
        <w:t>COMMUNICATION</w:t>
      </w:r>
    </w:p>
    <w:p w14:paraId="1DA091E1" w14:textId="77777777" w:rsidR="00F708EA" w:rsidRPr="00EF0CD4" w:rsidRDefault="00F708EA" w:rsidP="00F708EA">
      <w:pPr>
        <w:pStyle w:val="ListParagraph"/>
        <w:numPr>
          <w:ilvl w:val="0"/>
          <w:numId w:val="5"/>
        </w:numPr>
        <w:ind w:left="450" w:right="672"/>
        <w:contextualSpacing w:val="0"/>
        <w:jc w:val="both"/>
      </w:pPr>
      <w:r w:rsidRPr="00EF0CD4">
        <w:t>Use the e-Learning in Canvas environment to send an email to the instructor and teaching assistant. Do not e-mail the course instructor and teaching assistant outside of the e-Learning in Canvas system because emails received outside of e-Learning will not receive a response. Please allow 36 hours for a response to your email. The instructor and teaching assistant reserve the right not to respond to course inquiries on the</w:t>
      </w:r>
      <w:r w:rsidRPr="00EF0CD4">
        <w:rPr>
          <w:spacing w:val="-10"/>
        </w:rPr>
        <w:t xml:space="preserve"> </w:t>
      </w:r>
      <w:r w:rsidRPr="00EF0CD4">
        <w:t>weekend.</w:t>
      </w:r>
    </w:p>
    <w:p w14:paraId="34091644" w14:textId="77777777" w:rsidR="00F708EA" w:rsidRPr="00EF0CD4" w:rsidRDefault="00F708EA" w:rsidP="00F708EA">
      <w:pPr>
        <w:pStyle w:val="ListParagraph"/>
        <w:numPr>
          <w:ilvl w:val="0"/>
          <w:numId w:val="5"/>
        </w:numPr>
        <w:ind w:left="450" w:right="793"/>
        <w:contextualSpacing w:val="0"/>
        <w:jc w:val="both"/>
      </w:pPr>
      <w:r w:rsidRPr="00EF0CD4">
        <w:t>You are responsible for addressing grades/omissions within one week of the grade being posted on e-Learning in Canvas. After one week, the grade/input stands for the class regardless of cause or</w:t>
      </w:r>
      <w:r w:rsidRPr="00EF0CD4">
        <w:rPr>
          <w:spacing w:val="-8"/>
        </w:rPr>
        <w:t xml:space="preserve"> </w:t>
      </w:r>
      <w:r w:rsidRPr="00EF0CD4">
        <w:t>circumstance.</w:t>
      </w:r>
    </w:p>
    <w:p w14:paraId="5BA80B03" w14:textId="77777777" w:rsidR="00F708EA" w:rsidRPr="00EF0CD4" w:rsidRDefault="00F708EA" w:rsidP="00F708EA">
      <w:pPr>
        <w:pStyle w:val="BodyText"/>
        <w:spacing w:before="9"/>
        <w:ind w:left="450"/>
        <w:rPr>
          <w:sz w:val="22"/>
          <w:szCs w:val="22"/>
        </w:rPr>
      </w:pPr>
    </w:p>
    <w:p w14:paraId="58BB69E6" w14:textId="77777777" w:rsidR="00F708EA" w:rsidRPr="00EF0CD4" w:rsidRDefault="00F708EA" w:rsidP="00F708EA">
      <w:pPr>
        <w:ind w:right="698"/>
        <w:rPr>
          <w:i/>
        </w:rPr>
      </w:pPr>
      <w:r w:rsidRPr="00EF0CD4">
        <w:rPr>
          <w:b/>
          <w:u w:val="single"/>
        </w:rPr>
        <w:t xml:space="preserve">Note from the instructor: </w:t>
      </w:r>
      <w:r w:rsidRPr="00EF0CD4">
        <w:rPr>
          <w:i/>
          <w:u w:val="single"/>
        </w:rPr>
        <w:t>The syllabus represents my current plans and objectives. As we go through the</w:t>
      </w:r>
      <w:r w:rsidRPr="00EF0CD4">
        <w:rPr>
          <w:i/>
        </w:rPr>
        <w:t xml:space="preserve"> </w:t>
      </w:r>
      <w:r w:rsidRPr="00EF0CD4">
        <w:rPr>
          <w:i/>
          <w:u w:val="single"/>
        </w:rPr>
        <w:t>semester, those plans may need to change to enhance the class learning opportunity. Such changes,</w:t>
      </w:r>
      <w:r w:rsidRPr="00EF0CD4">
        <w:rPr>
          <w:i/>
        </w:rPr>
        <w:t xml:space="preserve"> </w:t>
      </w:r>
      <w:r w:rsidRPr="00EF0CD4">
        <w:rPr>
          <w:i/>
          <w:u w:val="single"/>
        </w:rPr>
        <w:t>communicated clearly, are not unusual and should be expected.</w:t>
      </w:r>
    </w:p>
    <w:p w14:paraId="5DD5F684" w14:textId="77777777" w:rsidR="00F708EA" w:rsidRDefault="00F708EA" w:rsidP="00F708EA"/>
    <w:sectPr w:rsidR="00F70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4EB"/>
    <w:multiLevelType w:val="hybridMultilevel"/>
    <w:tmpl w:val="B5E4A304"/>
    <w:lvl w:ilvl="0" w:tplc="4238D97C">
      <w:numFmt w:val="bullet"/>
      <w:lvlText w:val=""/>
      <w:lvlJc w:val="left"/>
      <w:pPr>
        <w:ind w:left="1360" w:hanging="360"/>
      </w:pPr>
      <w:rPr>
        <w:rFonts w:ascii="Symbol" w:eastAsia="Symbol" w:hAnsi="Symbol" w:cs="Symbol" w:hint="default"/>
        <w:w w:val="99"/>
        <w:sz w:val="20"/>
        <w:szCs w:val="20"/>
        <w:lang w:val="en-US" w:eastAsia="en-US" w:bidi="ar-SA"/>
      </w:rPr>
    </w:lvl>
    <w:lvl w:ilvl="1" w:tplc="13E0CC4E">
      <w:numFmt w:val="bullet"/>
      <w:lvlText w:val="•"/>
      <w:lvlJc w:val="left"/>
      <w:pPr>
        <w:ind w:left="2344" w:hanging="360"/>
      </w:pPr>
      <w:rPr>
        <w:rFonts w:hint="default"/>
        <w:lang w:val="en-US" w:eastAsia="en-US" w:bidi="ar-SA"/>
      </w:rPr>
    </w:lvl>
    <w:lvl w:ilvl="2" w:tplc="6DBE893E">
      <w:numFmt w:val="bullet"/>
      <w:lvlText w:val="•"/>
      <w:lvlJc w:val="left"/>
      <w:pPr>
        <w:ind w:left="3328" w:hanging="360"/>
      </w:pPr>
      <w:rPr>
        <w:rFonts w:hint="default"/>
        <w:lang w:val="en-US" w:eastAsia="en-US" w:bidi="ar-SA"/>
      </w:rPr>
    </w:lvl>
    <w:lvl w:ilvl="3" w:tplc="7D6AEFD4">
      <w:numFmt w:val="bullet"/>
      <w:lvlText w:val="•"/>
      <w:lvlJc w:val="left"/>
      <w:pPr>
        <w:ind w:left="4312" w:hanging="360"/>
      </w:pPr>
      <w:rPr>
        <w:rFonts w:hint="default"/>
        <w:lang w:val="en-US" w:eastAsia="en-US" w:bidi="ar-SA"/>
      </w:rPr>
    </w:lvl>
    <w:lvl w:ilvl="4" w:tplc="4EAEBC5E">
      <w:numFmt w:val="bullet"/>
      <w:lvlText w:val="•"/>
      <w:lvlJc w:val="left"/>
      <w:pPr>
        <w:ind w:left="5296" w:hanging="360"/>
      </w:pPr>
      <w:rPr>
        <w:rFonts w:hint="default"/>
        <w:lang w:val="en-US" w:eastAsia="en-US" w:bidi="ar-SA"/>
      </w:rPr>
    </w:lvl>
    <w:lvl w:ilvl="5" w:tplc="13724E82">
      <w:numFmt w:val="bullet"/>
      <w:lvlText w:val="•"/>
      <w:lvlJc w:val="left"/>
      <w:pPr>
        <w:ind w:left="6280" w:hanging="360"/>
      </w:pPr>
      <w:rPr>
        <w:rFonts w:hint="default"/>
        <w:lang w:val="en-US" w:eastAsia="en-US" w:bidi="ar-SA"/>
      </w:rPr>
    </w:lvl>
    <w:lvl w:ilvl="6" w:tplc="4B72DE12">
      <w:numFmt w:val="bullet"/>
      <w:lvlText w:val="•"/>
      <w:lvlJc w:val="left"/>
      <w:pPr>
        <w:ind w:left="7264" w:hanging="360"/>
      </w:pPr>
      <w:rPr>
        <w:rFonts w:hint="default"/>
        <w:lang w:val="en-US" w:eastAsia="en-US" w:bidi="ar-SA"/>
      </w:rPr>
    </w:lvl>
    <w:lvl w:ilvl="7" w:tplc="0D9C61EE">
      <w:numFmt w:val="bullet"/>
      <w:lvlText w:val="•"/>
      <w:lvlJc w:val="left"/>
      <w:pPr>
        <w:ind w:left="8248" w:hanging="360"/>
      </w:pPr>
      <w:rPr>
        <w:rFonts w:hint="default"/>
        <w:lang w:val="en-US" w:eastAsia="en-US" w:bidi="ar-SA"/>
      </w:rPr>
    </w:lvl>
    <w:lvl w:ilvl="8" w:tplc="66C06A00">
      <w:numFmt w:val="bullet"/>
      <w:lvlText w:val="•"/>
      <w:lvlJc w:val="left"/>
      <w:pPr>
        <w:ind w:left="9232" w:hanging="360"/>
      </w:pPr>
      <w:rPr>
        <w:rFonts w:hint="default"/>
        <w:lang w:val="en-US" w:eastAsia="en-US" w:bidi="ar-SA"/>
      </w:rPr>
    </w:lvl>
  </w:abstractNum>
  <w:abstractNum w:abstractNumId="1" w15:restartNumberingAfterBreak="0">
    <w:nsid w:val="39511346"/>
    <w:multiLevelType w:val="hybridMultilevel"/>
    <w:tmpl w:val="2B20D20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4A9B61A2"/>
    <w:multiLevelType w:val="hybridMultilevel"/>
    <w:tmpl w:val="ABCE9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362C3"/>
    <w:multiLevelType w:val="hybridMultilevel"/>
    <w:tmpl w:val="2FBA43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1128F"/>
    <w:multiLevelType w:val="hybridMultilevel"/>
    <w:tmpl w:val="BF4E8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9B2F9B"/>
    <w:multiLevelType w:val="hybridMultilevel"/>
    <w:tmpl w:val="D0C83D34"/>
    <w:lvl w:ilvl="0" w:tplc="5EBA7CFA">
      <w:numFmt w:val="bullet"/>
      <w:lvlText w:val=""/>
      <w:lvlJc w:val="left"/>
      <w:pPr>
        <w:ind w:left="720" w:hanging="360"/>
      </w:pPr>
      <w:rPr>
        <w:rFonts w:ascii="Wingdings" w:eastAsia="Times New Roman" w:hAnsi="Wingdings" w:cs="Times New Roman" w:hint="default"/>
      </w:rPr>
    </w:lvl>
    <w:lvl w:ilvl="1" w:tplc="6882B0BC">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71F92"/>
    <w:multiLevelType w:val="hybridMultilevel"/>
    <w:tmpl w:val="467083CC"/>
    <w:lvl w:ilvl="0" w:tplc="0409000F">
      <w:start w:val="1"/>
      <w:numFmt w:val="decimal"/>
      <w:lvlText w:val="%1."/>
      <w:lvlJc w:val="left"/>
      <w:pPr>
        <w:ind w:left="720" w:hanging="360"/>
      </w:pPr>
    </w:lvl>
    <w:lvl w:ilvl="1" w:tplc="0FBC0216">
      <w:numFmt w:val="bullet"/>
      <w:lvlText w:val=""/>
      <w:lvlJc w:val="left"/>
      <w:pPr>
        <w:ind w:left="1440" w:hanging="360"/>
      </w:pPr>
      <w:rPr>
        <w:rFonts w:ascii="Wingdings" w:eastAsia="Times New Roman" w:hAnsi="Wingdings" w:cs="Times New Roman" w:hint="default"/>
      </w:rPr>
    </w:lvl>
    <w:lvl w:ilvl="2" w:tplc="152A4506">
      <w:numFmt w:val="bullet"/>
      <w:lvlText w:val=""/>
      <w:lvlJc w:val="left"/>
      <w:pPr>
        <w:ind w:left="2340" w:hanging="360"/>
      </w:pPr>
      <w:rPr>
        <w:rFonts w:ascii="Wingdings" w:eastAsia="Times New Roman" w:hAnsi="Wingdings" w:cs="Times New Roman" w:hint="default"/>
      </w:rPr>
    </w:lvl>
    <w:lvl w:ilvl="3" w:tplc="A5705E62">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76E02"/>
    <w:multiLevelType w:val="hybridMultilevel"/>
    <w:tmpl w:val="0CA8DF3E"/>
    <w:lvl w:ilvl="0" w:tplc="1046B22E">
      <w:start w:val="1"/>
      <w:numFmt w:val="decimal"/>
      <w:lvlText w:val="%1."/>
      <w:lvlJc w:val="left"/>
      <w:pPr>
        <w:ind w:left="1720" w:hanging="360"/>
      </w:pPr>
      <w:rPr>
        <w:rFonts w:ascii="Times New Roman" w:eastAsia="Times New Roman" w:hAnsi="Times New Roman" w:cs="Times New Roman" w:hint="default"/>
        <w:b/>
        <w:bCs/>
        <w:w w:val="100"/>
        <w:sz w:val="22"/>
        <w:szCs w:val="22"/>
        <w:lang w:val="en-US" w:eastAsia="en-US" w:bidi="ar-SA"/>
      </w:rPr>
    </w:lvl>
    <w:lvl w:ilvl="1" w:tplc="18D863EE">
      <w:start w:val="1"/>
      <w:numFmt w:val="lowerLetter"/>
      <w:lvlText w:val="%2."/>
      <w:lvlJc w:val="left"/>
      <w:pPr>
        <w:ind w:left="2440" w:hanging="360"/>
      </w:pPr>
      <w:rPr>
        <w:rFonts w:ascii="Times New Roman" w:eastAsia="Times New Roman" w:hAnsi="Times New Roman" w:cs="Times New Roman" w:hint="default"/>
        <w:b/>
        <w:bCs/>
        <w:w w:val="100"/>
        <w:sz w:val="22"/>
        <w:szCs w:val="22"/>
        <w:lang w:val="en-US" w:eastAsia="en-US" w:bidi="ar-SA"/>
      </w:rPr>
    </w:lvl>
    <w:lvl w:ilvl="2" w:tplc="F6C214AC">
      <w:numFmt w:val="bullet"/>
      <w:lvlText w:val="•"/>
      <w:lvlJc w:val="left"/>
      <w:pPr>
        <w:ind w:left="3413" w:hanging="360"/>
      </w:pPr>
      <w:rPr>
        <w:rFonts w:hint="default"/>
        <w:lang w:val="en-US" w:eastAsia="en-US" w:bidi="ar-SA"/>
      </w:rPr>
    </w:lvl>
    <w:lvl w:ilvl="3" w:tplc="492C8852">
      <w:numFmt w:val="bullet"/>
      <w:lvlText w:val="•"/>
      <w:lvlJc w:val="left"/>
      <w:pPr>
        <w:ind w:left="4386" w:hanging="360"/>
      </w:pPr>
      <w:rPr>
        <w:rFonts w:hint="default"/>
        <w:lang w:val="en-US" w:eastAsia="en-US" w:bidi="ar-SA"/>
      </w:rPr>
    </w:lvl>
    <w:lvl w:ilvl="4" w:tplc="382A2612">
      <w:numFmt w:val="bullet"/>
      <w:lvlText w:val="•"/>
      <w:lvlJc w:val="left"/>
      <w:pPr>
        <w:ind w:left="5360" w:hanging="360"/>
      </w:pPr>
      <w:rPr>
        <w:rFonts w:hint="default"/>
        <w:lang w:val="en-US" w:eastAsia="en-US" w:bidi="ar-SA"/>
      </w:rPr>
    </w:lvl>
    <w:lvl w:ilvl="5" w:tplc="DFB48070">
      <w:numFmt w:val="bullet"/>
      <w:lvlText w:val="•"/>
      <w:lvlJc w:val="left"/>
      <w:pPr>
        <w:ind w:left="6333" w:hanging="360"/>
      </w:pPr>
      <w:rPr>
        <w:rFonts w:hint="default"/>
        <w:lang w:val="en-US" w:eastAsia="en-US" w:bidi="ar-SA"/>
      </w:rPr>
    </w:lvl>
    <w:lvl w:ilvl="6" w:tplc="CDA6EC28">
      <w:numFmt w:val="bullet"/>
      <w:lvlText w:val="•"/>
      <w:lvlJc w:val="left"/>
      <w:pPr>
        <w:ind w:left="7306" w:hanging="360"/>
      </w:pPr>
      <w:rPr>
        <w:rFonts w:hint="default"/>
        <w:lang w:val="en-US" w:eastAsia="en-US" w:bidi="ar-SA"/>
      </w:rPr>
    </w:lvl>
    <w:lvl w:ilvl="7" w:tplc="7CFE7DA4">
      <w:numFmt w:val="bullet"/>
      <w:lvlText w:val="•"/>
      <w:lvlJc w:val="left"/>
      <w:pPr>
        <w:ind w:left="8280" w:hanging="360"/>
      </w:pPr>
      <w:rPr>
        <w:rFonts w:hint="default"/>
        <w:lang w:val="en-US" w:eastAsia="en-US" w:bidi="ar-SA"/>
      </w:rPr>
    </w:lvl>
    <w:lvl w:ilvl="8" w:tplc="652818AC">
      <w:numFmt w:val="bullet"/>
      <w:lvlText w:val="•"/>
      <w:lvlJc w:val="left"/>
      <w:pPr>
        <w:ind w:left="9253" w:hanging="360"/>
      </w:pPr>
      <w:rPr>
        <w:rFonts w:hint="default"/>
        <w:lang w:val="en-US" w:eastAsia="en-US" w:bidi="ar-SA"/>
      </w:rPr>
    </w:lvl>
  </w:abstractNum>
  <w:abstractNum w:abstractNumId="8" w15:restartNumberingAfterBreak="0">
    <w:nsid w:val="75AF1175"/>
    <w:multiLevelType w:val="hybridMultilevel"/>
    <w:tmpl w:val="BF4E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0"/>
  </w:num>
  <w:num w:numId="6">
    <w:abstractNumId w:val="7"/>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2MjI3NrM0Mbc0tDBS0lEKTi0uzszPAykwrgUAg8i91ywAAAA="/>
  </w:docVars>
  <w:rsids>
    <w:rsidRoot w:val="00265724"/>
    <w:rsid w:val="00265724"/>
    <w:rsid w:val="003719E9"/>
    <w:rsid w:val="00487F57"/>
    <w:rsid w:val="004D19CC"/>
    <w:rsid w:val="005160E1"/>
    <w:rsid w:val="00572366"/>
    <w:rsid w:val="00752698"/>
    <w:rsid w:val="007A0D3C"/>
    <w:rsid w:val="00854AD1"/>
    <w:rsid w:val="008C0BA0"/>
    <w:rsid w:val="00974BFA"/>
    <w:rsid w:val="009865F9"/>
    <w:rsid w:val="009B634C"/>
    <w:rsid w:val="00AE1838"/>
    <w:rsid w:val="00B343B0"/>
    <w:rsid w:val="00BD1C27"/>
    <w:rsid w:val="00F708EA"/>
    <w:rsid w:val="00F9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9F42"/>
  <w15:chartTrackingRefBased/>
  <w15:docId w15:val="{97469447-A558-4332-9AD6-E7CC7E93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2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708EA"/>
    <w:pPr>
      <w:spacing w:line="252" w:lineRule="exact"/>
      <w:ind w:left="1720"/>
      <w:outlineLvl w:val="0"/>
    </w:pPr>
    <w:rPr>
      <w:b/>
      <w:bCs/>
    </w:rPr>
  </w:style>
  <w:style w:type="paragraph" w:styleId="Heading3">
    <w:name w:val="heading 3"/>
    <w:basedOn w:val="Normal"/>
    <w:next w:val="Normal"/>
    <w:link w:val="Heading3Char"/>
    <w:uiPriority w:val="9"/>
    <w:semiHidden/>
    <w:unhideWhenUsed/>
    <w:qFormat/>
    <w:rsid w:val="008C0B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5724"/>
    <w:pPr>
      <w:spacing w:line="365" w:lineRule="exact"/>
      <w:ind w:left="93"/>
      <w:jc w:val="center"/>
    </w:pPr>
    <w:rPr>
      <w:b/>
      <w:bCs/>
      <w:sz w:val="32"/>
      <w:szCs w:val="32"/>
    </w:rPr>
  </w:style>
  <w:style w:type="character" w:customStyle="1" w:styleId="TitleChar">
    <w:name w:val="Title Char"/>
    <w:basedOn w:val="DefaultParagraphFont"/>
    <w:link w:val="Title"/>
    <w:uiPriority w:val="10"/>
    <w:rsid w:val="00265724"/>
    <w:rPr>
      <w:rFonts w:ascii="Times New Roman" w:eastAsia="Times New Roman" w:hAnsi="Times New Roman" w:cs="Times New Roman"/>
      <w:b/>
      <w:bCs/>
      <w:sz w:val="32"/>
      <w:szCs w:val="32"/>
    </w:rPr>
  </w:style>
  <w:style w:type="paragraph" w:styleId="ListParagraph">
    <w:name w:val="List Paragraph"/>
    <w:basedOn w:val="Normal"/>
    <w:uiPriority w:val="1"/>
    <w:qFormat/>
    <w:rsid w:val="00265724"/>
    <w:pPr>
      <w:ind w:left="720"/>
      <w:contextualSpacing/>
    </w:pPr>
  </w:style>
  <w:style w:type="paragraph" w:styleId="BodyText">
    <w:name w:val="Body Text"/>
    <w:basedOn w:val="Normal"/>
    <w:link w:val="BodyTextChar"/>
    <w:uiPriority w:val="1"/>
    <w:qFormat/>
    <w:rsid w:val="004D19CC"/>
    <w:rPr>
      <w:sz w:val="20"/>
      <w:szCs w:val="20"/>
    </w:rPr>
  </w:style>
  <w:style w:type="character" w:customStyle="1" w:styleId="BodyTextChar">
    <w:name w:val="Body Text Char"/>
    <w:basedOn w:val="DefaultParagraphFont"/>
    <w:link w:val="BodyText"/>
    <w:uiPriority w:val="1"/>
    <w:rsid w:val="004D19CC"/>
    <w:rPr>
      <w:rFonts w:ascii="Times New Roman" w:eastAsia="Times New Roman" w:hAnsi="Times New Roman" w:cs="Times New Roman"/>
      <w:sz w:val="20"/>
      <w:szCs w:val="20"/>
    </w:rPr>
  </w:style>
  <w:style w:type="table" w:styleId="TableGrid">
    <w:name w:val="Table Grid"/>
    <w:basedOn w:val="TableNormal"/>
    <w:uiPriority w:val="39"/>
    <w:rsid w:val="004D19C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7F57"/>
    <w:rPr>
      <w:color w:val="0563C1" w:themeColor="hyperlink"/>
      <w:u w:val="single"/>
    </w:rPr>
  </w:style>
  <w:style w:type="character" w:customStyle="1" w:styleId="UnresolvedMention">
    <w:name w:val="Unresolved Mention"/>
    <w:basedOn w:val="DefaultParagraphFont"/>
    <w:uiPriority w:val="99"/>
    <w:semiHidden/>
    <w:unhideWhenUsed/>
    <w:rsid w:val="00487F57"/>
    <w:rPr>
      <w:color w:val="605E5C"/>
      <w:shd w:val="clear" w:color="auto" w:fill="E1DFDD"/>
    </w:rPr>
  </w:style>
  <w:style w:type="table" w:customStyle="1" w:styleId="TableGrid0">
    <w:name w:val="TableGrid"/>
    <w:rsid w:val="00F708EA"/>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708EA"/>
    <w:rPr>
      <w:rFonts w:ascii="Times New Roman" w:eastAsia="Times New Roman" w:hAnsi="Times New Roman" w:cs="Times New Roman"/>
      <w:b/>
      <w:bCs/>
    </w:rPr>
  </w:style>
  <w:style w:type="paragraph" w:customStyle="1" w:styleId="TableParagraph">
    <w:name w:val="Table Paragraph"/>
    <w:basedOn w:val="Normal"/>
    <w:uiPriority w:val="1"/>
    <w:qFormat/>
    <w:rsid w:val="00F708EA"/>
    <w:pPr>
      <w:spacing w:line="268" w:lineRule="exact"/>
      <w:ind w:left="110"/>
    </w:pPr>
  </w:style>
  <w:style w:type="character" w:customStyle="1" w:styleId="Heading3Char">
    <w:name w:val="Heading 3 Char"/>
    <w:basedOn w:val="DefaultParagraphFont"/>
    <w:link w:val="Heading3"/>
    <w:uiPriority w:val="9"/>
    <w:rsid w:val="008C0BA0"/>
    <w:rPr>
      <w:rFonts w:asciiTheme="majorHAnsi" w:eastAsiaTheme="majorEastAsia" w:hAnsiTheme="majorHAnsi" w:cstheme="majorBidi"/>
      <w:color w:val="1F3763" w:themeColor="accent1" w:themeShade="7F"/>
      <w:sz w:val="24"/>
      <w:szCs w:val="24"/>
    </w:rPr>
  </w:style>
  <w:style w:type="character" w:customStyle="1" w:styleId="ItemDescription">
    <w:name w:val="Item Description"/>
    <w:rsid w:val="008C0BA0"/>
    <w:rPr>
      <w:rFonts w:ascii="Calibri" w:eastAsia="Calibri" w:hAnsi="Calibri" w:cs="Calibri"/>
      <w:i/>
      <w:sz w:val="24"/>
    </w:rPr>
  </w:style>
  <w:style w:type="table" w:customStyle="1" w:styleId="TableGrid1">
    <w:name w:val="Table Grid1"/>
    <w:basedOn w:val="TableNormal"/>
    <w:next w:val="TableGrid"/>
    <w:uiPriority w:val="39"/>
    <w:rsid w:val="00854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anscostworks.com/" TargetMode="External"/><Relationship Id="rId13" Type="http://schemas.openxmlformats.org/officeDocument/2006/relationships/hyperlink" Target="mailto:Learning-support@ufl.edu" TargetMode="External"/><Relationship Id="rId3" Type="http://schemas.openxmlformats.org/officeDocument/2006/relationships/settings" Target="settings.xml"/><Relationship Id="rId7" Type="http://schemas.openxmlformats.org/officeDocument/2006/relationships/hyperlink" Target="https://www.rsmeansonline.com/" TargetMode="External"/><Relationship Id="rId12" Type="http://schemas.openxmlformats.org/officeDocument/2006/relationships/hyperlink" Target="http://teach.ufl.edu/wp-content/uploads/2012/08/NetiquetteGuideforOnlineCours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rabbi@ufl.edu" TargetMode="External"/><Relationship Id="rId11" Type="http://schemas.openxmlformats.org/officeDocument/2006/relationships/hyperlink" Target="http://www.dso.ufl.edu/students.php" TargetMode="External"/><Relationship Id="rId5" Type="http://schemas.openxmlformats.org/officeDocument/2006/relationships/hyperlink" Target="mailto:m.hasnain@ufl.edu" TargetMode="External"/><Relationship Id="rId15" Type="http://schemas.openxmlformats.org/officeDocument/2006/relationships/fontTable" Target="fontTable.xml"/><Relationship Id="rId10" Type="http://schemas.openxmlformats.org/officeDocument/2006/relationships/hyperlink" Target="http://www.dso.ufl.edu/drc/" TargetMode="External"/><Relationship Id="rId4" Type="http://schemas.openxmlformats.org/officeDocument/2006/relationships/webSettings" Target="web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s://lss.at.ufl.edu/hel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8408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Jeelani</dc:creator>
  <cp:keywords/>
  <dc:description/>
  <cp:lastModifiedBy>Schattner,Sallie A</cp:lastModifiedBy>
  <cp:revision>2</cp:revision>
  <dcterms:created xsi:type="dcterms:W3CDTF">2023-05-12T17:39:00Z</dcterms:created>
  <dcterms:modified xsi:type="dcterms:W3CDTF">2023-05-12T17:39:00Z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5f6ab0ed-bb88-436c-a0fa-5d94a1e2d71d</vt:lpwstr>
  </property>
</Properties>
</file>